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spacing w:before="156" w:beforeLines="50"/>
        <w:jc w:val="center"/>
        <w:rPr>
          <w:rFonts w:eastAsia="黑体"/>
          <w:b/>
        </w:rPr>
      </w:pPr>
      <w:r>
        <w:rPr>
          <w:rFonts w:hint="eastAsia" w:ascii="黑体" w:eastAsia="黑体"/>
          <w:bCs/>
          <w:sz w:val="32"/>
          <w:szCs w:val="32"/>
        </w:rPr>
        <w:t>经济统计学专业人才培养方案</w:t>
      </w:r>
    </w:p>
    <w:p>
      <w:pPr>
        <w:autoSpaceDE w:val="0"/>
        <w:autoSpaceDN w:val="0"/>
        <w:adjustRightInd w:val="0"/>
        <w:spacing w:line="360" w:lineRule="auto"/>
        <w:jc w:val="center"/>
        <w:rPr>
          <w:rFonts w:ascii="黑体" w:hAnsi="黑体" w:eastAsia="黑体"/>
          <w:color w:val="FF0000"/>
          <w:szCs w:val="21"/>
          <w:u w:val="single"/>
        </w:rPr>
      </w:pPr>
      <w:r>
        <w:rPr>
          <w:rFonts w:ascii="黑体" w:hAnsi="黑体" w:eastAsia="黑体"/>
          <w:sz w:val="24"/>
        </w:rPr>
        <w:t>(</w:t>
      </w:r>
      <w:r>
        <w:rPr>
          <w:rFonts w:hint="eastAsia" w:ascii="黑体" w:hAnsi="黑体" w:eastAsia="黑体"/>
          <w:sz w:val="24"/>
        </w:rPr>
        <w:t>020102</w:t>
      </w:r>
      <w:r>
        <w:rPr>
          <w:rFonts w:ascii="黑体" w:hAnsi="黑体" w:eastAsia="黑体"/>
          <w:sz w:val="24"/>
        </w:rPr>
        <w:t>)</w:t>
      </w:r>
    </w:p>
    <w:p>
      <w:pPr>
        <w:autoSpaceDE w:val="0"/>
        <w:autoSpaceDN w:val="0"/>
        <w:adjustRightInd w:val="0"/>
        <w:spacing w:line="360" w:lineRule="auto"/>
        <w:rPr>
          <w:rFonts w:eastAsia="黑体"/>
          <w:bCs/>
          <w:sz w:val="24"/>
        </w:rPr>
      </w:pPr>
      <w:r>
        <w:rPr>
          <w:rFonts w:hint="eastAsia" w:eastAsia="黑体"/>
          <w:bCs/>
          <w:sz w:val="24"/>
        </w:rPr>
        <w:t>一、专业介绍</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经济统计学专业的前身为20世纪70年代开始建设的统计学专业，由原国家统计局、国家计委、中国人民大学等单位的老一辈专家加盟组建，以社会经济统计为特色，着重培养掌握现代统计分析方法，定量分析和定性分析并重的复合型人才，至今已为国家培养出了30多届毕业生，他们中有一大批人已成为各级领导、专家学者或业务骨干，在社会各界具有重要影响。</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本专业1996年建设成为河北大学重点学科，2005年被评为省级重点学科，并于1998年获得统计学专业硕士学位授予权，目前依托本专业建设有统计学、数量经济学、国民经济学、区域经济学等四个硕士学位授权点。经过三十余年的发展建设，统计学专业建立了一个结构合理、教学科研实力突出的学术梯队，多年来承担了几十项国家和省部级重要科研课题，发表和出版了大量科研论著，获得了数十项各级科研奖励，在社会上具有较大反响。</w:t>
      </w:r>
    </w:p>
    <w:p>
      <w:pPr>
        <w:autoSpaceDE w:val="0"/>
        <w:autoSpaceDN w:val="0"/>
        <w:adjustRightInd w:val="0"/>
        <w:spacing w:line="360" w:lineRule="auto"/>
        <w:rPr>
          <w:rFonts w:ascii="黑体" w:eastAsia="黑体"/>
          <w:bCs/>
          <w:szCs w:val="21"/>
        </w:rPr>
      </w:pPr>
      <w:r>
        <w:rPr>
          <w:rFonts w:hint="eastAsia" w:eastAsia="黑体"/>
          <w:bCs/>
          <w:sz w:val="24"/>
        </w:rPr>
        <w:t>二、培养目标</w:t>
      </w:r>
    </w:p>
    <w:p>
      <w:pPr>
        <w:autoSpaceDE w:val="0"/>
        <w:autoSpaceDN w:val="0"/>
        <w:adjustRightInd w:val="0"/>
        <w:spacing w:line="360" w:lineRule="auto"/>
        <w:ind w:firstLine="420" w:firstLineChars="200"/>
        <w:rPr>
          <w:rFonts w:ascii="宋体" w:hAnsi="宋体"/>
          <w:bCs/>
          <w:szCs w:val="21"/>
        </w:rPr>
      </w:pPr>
      <w:r>
        <w:rPr>
          <w:rFonts w:hint="eastAsia" w:ascii="宋体" w:hAnsi="宋体"/>
          <w:bCs/>
          <w:szCs w:val="21"/>
        </w:rPr>
        <w:t>本专业主要培养具有扎实的统计学和经济学基础，熟练应用现代经济计量分析方法和软件工具，能够在银行、保险公司、证券公司等金融机构，信息咨询、市场调研机构以及各类企业及教育科研单位从事信息采集与咨询、市场调研与开发、经济分析与决策等实务工作；在各类单位管理部门从事经济管理工作，以及科研和教学工作的复合型高素质人才。</w:t>
      </w:r>
    </w:p>
    <w:p>
      <w:pPr>
        <w:autoSpaceDE w:val="0"/>
        <w:autoSpaceDN w:val="0"/>
        <w:adjustRightInd w:val="0"/>
        <w:spacing w:line="360" w:lineRule="auto"/>
        <w:rPr>
          <w:rFonts w:hint="eastAsia" w:eastAsia="黑体"/>
          <w:bCs/>
          <w:sz w:val="24"/>
        </w:rPr>
      </w:pPr>
      <w:r>
        <w:rPr>
          <w:rFonts w:hint="eastAsia" w:eastAsia="黑体"/>
          <w:bCs/>
          <w:sz w:val="24"/>
        </w:rPr>
        <w:t>三、培养要求</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经济统计学专业学生主要学习经济学和统计学的基本理论和基本知识，并具有较强实际应用能力的复合型专门人才。具体培养要求为：</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hint="eastAsia" w:ascii="宋体" w:hAnsi="宋体"/>
          <w:bCs/>
          <w:szCs w:val="21"/>
        </w:rPr>
      </w:pPr>
      <w:r>
        <w:rPr>
          <w:rFonts w:hint="eastAsia" w:ascii="宋体" w:hAnsi="宋体"/>
          <w:bCs/>
          <w:szCs w:val="21"/>
        </w:rPr>
        <w:t>1.具备科学的世界观、价值观和人生观，德才兼备、具有高度社会责任感</w:t>
      </w:r>
      <w:r>
        <w:rPr>
          <w:rFonts w:hint="eastAsia" w:ascii="宋体" w:hAnsi="宋体"/>
          <w:bCs/>
          <w:szCs w:val="21"/>
          <w:lang w:eastAsia="zh-CN"/>
        </w:rPr>
        <w:t>；</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2.掌握统计学与经济学基本理论和基本知识；</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3.系统掌握现代统计学基本分析方法与分析技术，具备运用数量分析方法和现代技术手段进行社会经济调查、经济分析和实际操作的能力；</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4</w:t>
      </w:r>
      <w:r>
        <w:rPr>
          <w:rFonts w:hint="eastAsia" w:ascii="宋体" w:hAnsi="宋体"/>
          <w:bCs/>
          <w:szCs w:val="21"/>
          <w:lang w:eastAsia="zh-CN"/>
        </w:rPr>
        <w:t>.</w:t>
      </w:r>
      <w:r>
        <w:rPr>
          <w:rFonts w:hint="eastAsia" w:ascii="宋体" w:hAnsi="宋体"/>
          <w:bCs/>
          <w:szCs w:val="21"/>
        </w:rPr>
        <w:t>具备较高的计算机应用水平，熟练操作统计分析软件；</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5.</w:t>
      </w:r>
      <w:r>
        <w:rPr>
          <w:rFonts w:ascii="宋体" w:hAnsi="宋体"/>
          <w:bCs/>
          <w:szCs w:val="21"/>
        </w:rPr>
        <w:t>掌握中外</w:t>
      </w:r>
      <w:r>
        <w:rPr>
          <w:rFonts w:hint="eastAsia" w:ascii="宋体" w:hAnsi="宋体"/>
          <w:bCs/>
          <w:szCs w:val="21"/>
        </w:rPr>
        <w:t>相关</w:t>
      </w:r>
      <w:r>
        <w:rPr>
          <w:rFonts w:ascii="宋体" w:hAnsi="宋体"/>
          <w:bCs/>
          <w:szCs w:val="21"/>
        </w:rPr>
        <w:t>文献检索、资料查询的基本方法</w:t>
      </w:r>
      <w:r>
        <w:rPr>
          <w:rFonts w:hint="eastAsia" w:ascii="宋体" w:hAnsi="宋体"/>
          <w:bCs/>
          <w:szCs w:val="21"/>
        </w:rPr>
        <w:t>；</w:t>
      </w:r>
    </w:p>
    <w:p>
      <w:pPr>
        <w:widowControl w:val="0"/>
        <w:wordWrap/>
        <w:autoSpaceDE w:val="0"/>
        <w:autoSpaceDN w:val="0"/>
        <w:adjustRightInd w:val="0"/>
        <w:snapToGrid/>
        <w:spacing w:line="360" w:lineRule="auto"/>
        <w:ind w:left="0" w:leftChars="0" w:right="0" w:firstLine="420" w:firstLineChars="200"/>
        <w:jc w:val="both"/>
        <w:textAlignment w:val="auto"/>
        <w:outlineLvl w:val="9"/>
        <w:rPr>
          <w:rFonts w:ascii="宋体" w:hAnsi="宋体"/>
          <w:bCs/>
          <w:szCs w:val="21"/>
        </w:rPr>
      </w:pPr>
      <w:r>
        <w:rPr>
          <w:rFonts w:hint="eastAsia" w:ascii="宋体" w:hAnsi="宋体"/>
          <w:bCs/>
          <w:szCs w:val="21"/>
        </w:rPr>
        <w:t>6.具备较强的文字和口头表达能力，并熟练掌握一门外语。</w:t>
      </w:r>
    </w:p>
    <w:p>
      <w:pPr>
        <w:autoSpaceDE w:val="0"/>
        <w:autoSpaceDN w:val="0"/>
        <w:adjustRightInd w:val="0"/>
        <w:spacing w:line="360" w:lineRule="auto"/>
        <w:rPr>
          <w:rFonts w:ascii="黑体" w:eastAsia="黑体"/>
          <w:bCs/>
          <w:sz w:val="24"/>
        </w:rPr>
      </w:pPr>
      <w:r>
        <w:rPr>
          <w:rFonts w:hint="eastAsia" w:ascii="黑体" w:eastAsia="黑体"/>
          <w:bCs/>
          <w:sz w:val="24"/>
        </w:rPr>
        <w:t>四、核心课程</w:t>
      </w:r>
    </w:p>
    <w:p>
      <w:pPr>
        <w:autoSpaceDE w:val="0"/>
        <w:autoSpaceDN w:val="0"/>
        <w:adjustRightInd w:val="0"/>
        <w:spacing w:line="360" w:lineRule="auto"/>
        <w:ind w:firstLine="420" w:firstLineChars="200"/>
        <w:rPr>
          <w:rFonts w:ascii="宋体" w:hAnsi="宋体"/>
          <w:bCs/>
          <w:szCs w:val="21"/>
        </w:rPr>
      </w:pPr>
      <w:r>
        <w:rPr>
          <w:rFonts w:hint="eastAsia" w:ascii="宋体" w:hAnsi="宋体"/>
          <w:bCs/>
          <w:szCs w:val="21"/>
        </w:rPr>
        <w:t>统计学、国民经济核算、多元统计分析、时间序列分析、统计预测与决策、非参数统计、数据挖掘、抽样技术、国民经济管理学、应用随机过程、保险精算、金融统计学</w:t>
      </w:r>
      <w:r>
        <w:rPr>
          <w:rFonts w:hint="eastAsia" w:ascii="宋体" w:hAnsi="宋体"/>
          <w:bCs/>
          <w:szCs w:val="21"/>
          <w:lang w:eastAsia="zh-CN"/>
        </w:rPr>
        <w:t>。</w:t>
      </w:r>
    </w:p>
    <w:p>
      <w:pPr>
        <w:autoSpaceDE w:val="0"/>
        <w:autoSpaceDN w:val="0"/>
        <w:adjustRightInd w:val="0"/>
        <w:spacing w:line="360" w:lineRule="auto"/>
        <w:rPr>
          <w:rFonts w:ascii="宋体" w:hAnsi="宋体"/>
          <w:bCs/>
          <w:szCs w:val="21"/>
        </w:rPr>
      </w:pPr>
      <w:r>
        <w:rPr>
          <w:rFonts w:hint="eastAsia" w:ascii="黑体" w:eastAsia="黑体"/>
          <w:bCs/>
          <w:sz w:val="24"/>
        </w:rPr>
        <w:t>五、标准学制：</w:t>
      </w:r>
      <w:r>
        <w:rPr>
          <w:rFonts w:hint="eastAsia" w:ascii="宋体" w:hAnsi="宋体"/>
          <w:bCs/>
          <w:sz w:val="21"/>
          <w:szCs w:val="21"/>
        </w:rPr>
        <w:t>四年。</w:t>
      </w:r>
      <w:r>
        <w:rPr>
          <w:rFonts w:hint="eastAsia"/>
          <w:sz w:val="21"/>
          <w:szCs w:val="21"/>
        </w:rPr>
        <w:t>学生可根据自身具体情况缩短或延长修业年限，修业年限为三至六年。</w:t>
      </w:r>
    </w:p>
    <w:p>
      <w:pPr>
        <w:autoSpaceDE w:val="0"/>
        <w:autoSpaceDN w:val="0"/>
        <w:adjustRightInd w:val="0"/>
        <w:spacing w:line="360" w:lineRule="auto"/>
        <w:rPr>
          <w:rFonts w:ascii="宋体" w:hAnsi="宋体"/>
          <w:bCs/>
          <w:szCs w:val="21"/>
        </w:rPr>
      </w:pPr>
      <w:r>
        <w:rPr>
          <w:rFonts w:hint="eastAsia" w:ascii="黑体" w:eastAsia="黑体"/>
          <w:bCs/>
          <w:sz w:val="24"/>
        </w:rPr>
        <w:t>六、授予学位：</w:t>
      </w:r>
      <w:r>
        <w:rPr>
          <w:rFonts w:hint="eastAsia" w:ascii="宋体" w:hAnsi="宋体"/>
          <w:bCs/>
          <w:szCs w:val="21"/>
        </w:rPr>
        <w:t>经济学学士</w:t>
      </w:r>
    </w:p>
    <w:p>
      <w:pPr>
        <w:autoSpaceDE w:val="0"/>
        <w:autoSpaceDN w:val="0"/>
        <w:adjustRightInd w:val="0"/>
        <w:spacing w:line="360" w:lineRule="auto"/>
        <w:rPr>
          <w:rFonts w:ascii="黑体" w:eastAsia="黑体"/>
          <w:bCs/>
          <w:sz w:val="24"/>
        </w:rPr>
      </w:pPr>
      <w:r>
        <w:rPr>
          <w:rFonts w:hint="eastAsia" w:ascii="黑体" w:eastAsia="黑体"/>
          <w:bCs/>
          <w:sz w:val="24"/>
        </w:rPr>
        <w:t>七、毕业学分学时要求</w:t>
      </w:r>
    </w:p>
    <w:tbl>
      <w:tblPr>
        <w:tblStyle w:val="21"/>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2320"/>
        <w:gridCol w:w="596"/>
        <w:gridCol w:w="577"/>
        <w:gridCol w:w="577"/>
        <w:gridCol w:w="578"/>
        <w:gridCol w:w="578"/>
        <w:gridCol w:w="578"/>
        <w:gridCol w:w="578"/>
        <w:gridCol w:w="578"/>
        <w:gridCol w:w="578"/>
        <w:gridCol w:w="578"/>
        <w:gridCol w:w="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2" w:hRule="atLeast"/>
          <w:jc w:val="center"/>
        </w:trPr>
        <w:tc>
          <w:tcPr>
            <w:tcW w:w="1019"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课程类型</w:t>
            </w:r>
          </w:p>
        </w:tc>
        <w:tc>
          <w:tcPr>
            <w:tcW w:w="2320"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课组名称</w:t>
            </w:r>
          </w:p>
        </w:tc>
        <w:tc>
          <w:tcPr>
            <w:tcW w:w="596"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修读</w:t>
            </w:r>
          </w:p>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方式</w:t>
            </w:r>
          </w:p>
        </w:tc>
        <w:tc>
          <w:tcPr>
            <w:tcW w:w="2310" w:type="dxa"/>
            <w:gridSpan w:val="4"/>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理论教学</w:t>
            </w:r>
          </w:p>
        </w:tc>
        <w:tc>
          <w:tcPr>
            <w:tcW w:w="2312" w:type="dxa"/>
            <w:gridSpan w:val="4"/>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实验/实践教学</w:t>
            </w:r>
          </w:p>
        </w:tc>
        <w:tc>
          <w:tcPr>
            <w:tcW w:w="578"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学分</w:t>
            </w:r>
          </w:p>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合计</w:t>
            </w:r>
          </w:p>
        </w:tc>
        <w:tc>
          <w:tcPr>
            <w:tcW w:w="578"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学时</w:t>
            </w:r>
          </w:p>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19"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2320"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596"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学分</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比例</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学时</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比例</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学分</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比例</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学时</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比例</w:t>
            </w:r>
          </w:p>
        </w:tc>
        <w:tc>
          <w:tcPr>
            <w:tcW w:w="578"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通识</w:t>
            </w:r>
          </w:p>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教育课程</w:t>
            </w: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通识通修课</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必修</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w:t>
            </w:r>
            <w:r>
              <w:rPr>
                <w:rFonts w:hint="eastAsia" w:ascii="宋体" w:hAnsi="宋体" w:eastAsia="宋体" w:cs="宋体"/>
                <w:bCs/>
                <w:sz w:val="18"/>
                <w:szCs w:val="18"/>
                <w:lang w:val="en-US" w:eastAsia="zh-CN"/>
              </w:rPr>
              <w:t>2</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8</w:t>
            </w:r>
            <w:r>
              <w:rPr>
                <w:rFonts w:hint="eastAsia" w:ascii="宋体" w:hAnsi="宋体" w:eastAsia="宋体" w:cs="宋体"/>
                <w:bCs/>
                <w:sz w:val="18"/>
                <w:szCs w:val="18"/>
                <w:lang w:val="en-US" w:eastAsia="zh-CN"/>
              </w:rPr>
              <w:t>6</w:t>
            </w:r>
            <w:r>
              <w:rPr>
                <w:rFonts w:hint="eastAsia" w:ascii="宋体" w:hAnsi="宋体" w:eastAsia="宋体" w:cs="宋体"/>
                <w:bCs/>
                <w:sz w:val="18"/>
                <w:szCs w:val="18"/>
              </w:rPr>
              <w:t>.</w:t>
            </w:r>
            <w:r>
              <w:rPr>
                <w:rFonts w:hint="eastAsia" w:ascii="宋体" w:hAnsi="宋体" w:eastAsia="宋体" w:cs="宋体"/>
                <w:bCs/>
                <w:sz w:val="18"/>
                <w:szCs w:val="18"/>
                <w:lang w:val="en-US" w:eastAsia="zh-CN"/>
              </w:rPr>
              <w:t>5</w:t>
            </w:r>
            <w:r>
              <w:rPr>
                <w:rFonts w:hint="eastAsia" w:ascii="宋体" w:hAnsi="宋体" w:eastAsia="宋体" w:cs="宋体"/>
                <w:bCs/>
                <w:sz w:val="18"/>
                <w:szCs w:val="18"/>
              </w:rPr>
              <w:t>%</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624</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94.8%</w:t>
            </w:r>
          </w:p>
        </w:tc>
        <w:tc>
          <w:tcPr>
            <w:tcW w:w="578" w:type="dxa"/>
            <w:vAlign w:val="center"/>
          </w:tcPr>
          <w:p>
            <w:pPr>
              <w:autoSpaceDE w:val="0"/>
              <w:autoSpaceDN w:val="0"/>
              <w:adjustRightInd w:val="0"/>
              <w:snapToGrid w:val="0"/>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5</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w:t>
            </w:r>
            <w:r>
              <w:rPr>
                <w:rFonts w:hint="eastAsia" w:ascii="宋体" w:hAnsi="宋体" w:eastAsia="宋体" w:cs="宋体"/>
                <w:bCs/>
                <w:sz w:val="18"/>
                <w:szCs w:val="18"/>
                <w:lang w:val="en-US" w:eastAsia="zh-CN"/>
              </w:rPr>
              <w:t>3</w:t>
            </w:r>
            <w:r>
              <w:rPr>
                <w:rFonts w:hint="eastAsia" w:ascii="宋体" w:hAnsi="宋体" w:eastAsia="宋体" w:cs="宋体"/>
                <w:bCs/>
                <w:sz w:val="18"/>
                <w:szCs w:val="18"/>
              </w:rPr>
              <w:t>.</w:t>
            </w:r>
            <w:r>
              <w:rPr>
                <w:rFonts w:hint="eastAsia" w:ascii="宋体" w:hAnsi="宋体" w:eastAsia="宋体" w:cs="宋体"/>
                <w:bCs/>
                <w:sz w:val="18"/>
                <w:szCs w:val="18"/>
                <w:lang w:val="en-US" w:eastAsia="zh-CN"/>
              </w:rPr>
              <w:t>5</w:t>
            </w:r>
            <w:r>
              <w:rPr>
                <w:rFonts w:hint="eastAsia" w:ascii="宋体" w:hAnsi="宋体" w:eastAsia="宋体" w:cs="宋体"/>
                <w:bCs/>
                <w:sz w:val="18"/>
                <w:szCs w:val="18"/>
              </w:rPr>
              <w:t>%</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34/16周</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5.2%</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658/16周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通识通选课</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选修</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12</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66.7%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204</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6</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33.3%</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18</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学科</w:t>
            </w:r>
          </w:p>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基础课程</w:t>
            </w: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学科基础必修课</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必修</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43</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97.7%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731</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93.7%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2.3%</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49</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6.3%</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44</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学科（跨学科）选修课</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选修</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11</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187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11</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专业</w:t>
            </w:r>
          </w:p>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发展课程</w:t>
            </w: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专业发展核心课</w:t>
            </w:r>
          </w:p>
        </w:tc>
        <w:tc>
          <w:tcPr>
            <w:tcW w:w="596"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必修</w:t>
            </w:r>
          </w:p>
        </w:tc>
        <w:tc>
          <w:tcPr>
            <w:tcW w:w="577"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19</w:t>
            </w:r>
          </w:p>
        </w:tc>
        <w:tc>
          <w:tcPr>
            <w:tcW w:w="577"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63.3%</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323</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8</w:t>
            </w:r>
            <w:r>
              <w:rPr>
                <w:rFonts w:hint="eastAsia" w:ascii="宋体" w:hAnsi="宋体" w:eastAsia="宋体" w:cs="宋体"/>
                <w:bCs/>
                <w:color w:val="auto"/>
                <w:sz w:val="18"/>
                <w:szCs w:val="18"/>
                <w:lang w:val="en-US" w:eastAsia="zh-CN"/>
              </w:rPr>
              <w:t>7</w:t>
            </w:r>
            <w:r>
              <w:rPr>
                <w:rFonts w:hint="eastAsia" w:ascii="宋体" w:hAnsi="宋体" w:eastAsia="宋体" w:cs="宋体"/>
                <w:bCs/>
                <w:color w:val="auto"/>
                <w:sz w:val="18"/>
                <w:szCs w:val="18"/>
              </w:rPr>
              <w:t>.</w:t>
            </w:r>
            <w:r>
              <w:rPr>
                <w:rFonts w:hint="eastAsia" w:ascii="宋体" w:hAnsi="宋体" w:eastAsia="宋体" w:cs="宋体"/>
                <w:bCs/>
                <w:color w:val="auto"/>
                <w:sz w:val="18"/>
                <w:szCs w:val="18"/>
                <w:lang w:val="en-US" w:eastAsia="zh-CN"/>
              </w:rPr>
              <w:t>8</w:t>
            </w:r>
            <w:r>
              <w:rPr>
                <w:rFonts w:hint="eastAsia" w:ascii="宋体" w:hAnsi="宋体" w:eastAsia="宋体" w:cs="宋体"/>
                <w:bCs/>
                <w:color w:val="auto"/>
                <w:sz w:val="18"/>
                <w:szCs w:val="18"/>
              </w:rPr>
              <w:t>%</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11</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36.7%</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lang w:val="en-US" w:eastAsia="zh-CN"/>
              </w:rPr>
              <w:t>4</w:t>
            </w:r>
            <w:r>
              <w:rPr>
                <w:rFonts w:hint="eastAsia" w:ascii="宋体" w:hAnsi="宋体" w:eastAsia="宋体" w:cs="宋体"/>
                <w:bCs/>
                <w:color w:val="auto"/>
                <w:sz w:val="18"/>
                <w:szCs w:val="18"/>
              </w:rPr>
              <w:t>5/12周</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w:t>
            </w:r>
            <w:r>
              <w:rPr>
                <w:rFonts w:hint="eastAsia" w:ascii="宋体" w:hAnsi="宋体" w:eastAsia="宋体" w:cs="宋体"/>
                <w:bCs/>
                <w:color w:val="auto"/>
                <w:sz w:val="18"/>
                <w:szCs w:val="18"/>
                <w:lang w:val="en-US" w:eastAsia="zh-CN"/>
              </w:rPr>
              <w:t>2</w:t>
            </w:r>
            <w:r>
              <w:rPr>
                <w:rFonts w:hint="eastAsia" w:ascii="宋体" w:hAnsi="宋体" w:eastAsia="宋体" w:cs="宋体"/>
                <w:bCs/>
                <w:color w:val="auto"/>
                <w:sz w:val="18"/>
                <w:szCs w:val="18"/>
              </w:rPr>
              <w:t>.</w:t>
            </w:r>
            <w:r>
              <w:rPr>
                <w:rFonts w:hint="eastAsia" w:ascii="宋体" w:hAnsi="宋体" w:eastAsia="宋体" w:cs="宋体"/>
                <w:bCs/>
                <w:color w:val="auto"/>
                <w:sz w:val="18"/>
                <w:szCs w:val="18"/>
                <w:lang w:val="en-US" w:eastAsia="zh-CN"/>
              </w:rPr>
              <w:t>2</w:t>
            </w:r>
            <w:r>
              <w:rPr>
                <w:rFonts w:hint="eastAsia" w:ascii="宋体" w:hAnsi="宋体" w:eastAsia="宋体" w:cs="宋体"/>
                <w:bCs/>
                <w:color w:val="auto"/>
                <w:sz w:val="18"/>
                <w:szCs w:val="18"/>
              </w:rPr>
              <w:t>%</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30</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w:t>
            </w:r>
            <w:r>
              <w:rPr>
                <w:rFonts w:hint="eastAsia" w:ascii="宋体" w:hAnsi="宋体" w:eastAsia="宋体" w:cs="宋体"/>
                <w:bCs/>
                <w:color w:val="auto"/>
                <w:sz w:val="18"/>
                <w:szCs w:val="18"/>
                <w:lang w:val="en-US" w:eastAsia="zh-CN"/>
              </w:rPr>
              <w:t>6</w:t>
            </w:r>
            <w:r>
              <w:rPr>
                <w:rFonts w:hint="eastAsia" w:ascii="宋体" w:hAnsi="宋体" w:eastAsia="宋体" w:cs="宋体"/>
                <w:bCs/>
                <w:color w:val="auto"/>
                <w:sz w:val="18"/>
                <w:szCs w:val="18"/>
              </w:rPr>
              <w:t>8/12周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专业发展拓展课</w:t>
            </w:r>
          </w:p>
        </w:tc>
        <w:tc>
          <w:tcPr>
            <w:tcW w:w="596"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选修</w:t>
            </w:r>
          </w:p>
        </w:tc>
        <w:tc>
          <w:tcPr>
            <w:tcW w:w="577"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577"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340</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lang w:val="en-US" w:eastAsia="zh-CN"/>
              </w:rPr>
              <w:t>100</w:t>
            </w:r>
            <w:r>
              <w:rPr>
                <w:rFonts w:hint="eastAsia" w:ascii="宋体" w:hAnsi="宋体" w:eastAsia="宋体" w:cs="宋体"/>
                <w:bCs/>
                <w:color w:val="auto"/>
                <w:sz w:val="18"/>
                <w:szCs w:val="18"/>
              </w:rPr>
              <w:t>%</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578" w:type="dxa"/>
            <w:vAlign w:val="center"/>
          </w:tcPr>
          <w:p>
            <w:pPr>
              <w:autoSpaceDE w:val="0"/>
              <w:autoSpaceDN w:val="0"/>
              <w:adjustRightInd w:val="0"/>
              <w:snapToGrid w:val="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w:t>
            </w:r>
            <w:r>
              <w:rPr>
                <w:rFonts w:hint="eastAsia" w:ascii="宋体" w:hAnsi="宋体" w:eastAsia="宋体" w:cs="宋体"/>
                <w:bCs/>
                <w:color w:val="auto"/>
                <w:sz w:val="18"/>
                <w:szCs w:val="18"/>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集中</w:t>
            </w:r>
          </w:p>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实践课程</w:t>
            </w: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第二课堂素质拓展与就业创业实践（含通识教育讲座、就业创业训练、校外社会实践等）</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必修</w:t>
            </w:r>
          </w:p>
        </w:tc>
        <w:tc>
          <w:tcPr>
            <w:tcW w:w="5778" w:type="dxa"/>
            <w:gridSpan w:val="10"/>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按照第二课堂素质学分认定办法执行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体育健康教育</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必修</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8</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思想政治课社会实践</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必修</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34</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hint="eastAsia" w:ascii="宋体" w:hAnsi="宋体" w:eastAsia="宋体" w:cs="宋体"/>
                <w:bCs/>
                <w:sz w:val="18"/>
                <w:szCs w:val="18"/>
              </w:rPr>
            </w:pPr>
          </w:p>
        </w:tc>
        <w:tc>
          <w:tcPr>
            <w:tcW w:w="2320"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专业实践课程</w:t>
            </w:r>
          </w:p>
        </w:tc>
        <w:tc>
          <w:tcPr>
            <w:tcW w:w="596"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必修</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33.3%</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100%</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66.7%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2周</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3</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17/2周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3935" w:type="dxa"/>
            <w:gridSpan w:val="3"/>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总计</w:t>
            </w:r>
          </w:p>
        </w:tc>
        <w:tc>
          <w:tcPr>
            <w:tcW w:w="577"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color w:val="000000"/>
                <w:sz w:val="18"/>
                <w:szCs w:val="18"/>
              </w:rPr>
              <w:t>13</w:t>
            </w:r>
            <w:r>
              <w:rPr>
                <w:rFonts w:hint="eastAsia" w:ascii="宋体" w:hAnsi="宋体" w:eastAsia="宋体" w:cs="宋体"/>
                <w:color w:val="000000"/>
                <w:sz w:val="18"/>
                <w:szCs w:val="18"/>
                <w:lang w:val="en-US" w:eastAsia="zh-CN"/>
              </w:rPr>
              <w:t>8</w:t>
            </w:r>
          </w:p>
        </w:tc>
        <w:tc>
          <w:tcPr>
            <w:tcW w:w="577" w:type="dxa"/>
            <w:vAlign w:val="center"/>
          </w:tcPr>
          <w:p>
            <w:pPr>
              <w:autoSpaceDE w:val="0"/>
              <w:autoSpaceDN w:val="0"/>
              <w:adjustRightInd w:val="0"/>
              <w:snapToGrid w:val="0"/>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83.6%</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color w:val="000000"/>
                <w:sz w:val="18"/>
                <w:szCs w:val="18"/>
              </w:rPr>
              <w:t>2426　</w:t>
            </w:r>
          </w:p>
        </w:tc>
        <w:tc>
          <w:tcPr>
            <w:tcW w:w="578" w:type="dxa"/>
            <w:vAlign w:val="center"/>
          </w:tcPr>
          <w:p>
            <w:pPr>
              <w:autoSpaceDE w:val="0"/>
              <w:autoSpaceDN w:val="0"/>
              <w:adjustRightInd w:val="0"/>
              <w:snapToGrid w:val="0"/>
              <w:jc w:val="center"/>
              <w:rPr>
                <w:rFonts w:hint="eastAsia" w:ascii="宋体" w:hAnsi="宋体" w:eastAsia="宋体" w:cs="宋体"/>
                <w:bCs/>
                <w:sz w:val="18"/>
                <w:szCs w:val="18"/>
                <w:lang w:val="en-US" w:eastAsia="zh-CN"/>
              </w:rPr>
            </w:pPr>
            <w:r>
              <w:rPr>
                <w:rFonts w:hint="eastAsia" w:ascii="宋体" w:hAnsi="宋体" w:cs="宋体"/>
                <w:bCs/>
                <w:sz w:val="18"/>
                <w:szCs w:val="18"/>
                <w:lang w:val="en-US" w:eastAsia="zh-CN"/>
              </w:rPr>
              <w:t>93.5%</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7</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color w:val="000000"/>
                <w:sz w:val="18"/>
                <w:szCs w:val="18"/>
                <w:lang w:val="en-US" w:eastAsia="zh-CN"/>
              </w:rPr>
              <w:t>16.4%</w:t>
            </w:r>
            <w:r>
              <w:rPr>
                <w:rFonts w:hint="eastAsia" w:ascii="宋体" w:hAnsi="宋体" w:eastAsia="宋体" w:cs="宋体"/>
                <w:color w:val="000000"/>
                <w:sz w:val="18"/>
                <w:szCs w:val="18"/>
              </w:rPr>
              <w:t>　</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color w:val="000000"/>
                <w:sz w:val="18"/>
                <w:szCs w:val="18"/>
                <w:lang w:val="en-US" w:eastAsia="zh-CN"/>
              </w:rPr>
              <w:t>170</w:t>
            </w:r>
            <w:r>
              <w:rPr>
                <w:rFonts w:hint="eastAsia" w:ascii="宋体" w:hAnsi="宋体" w:eastAsia="宋体" w:cs="宋体"/>
                <w:color w:val="000000"/>
                <w:sz w:val="18"/>
                <w:szCs w:val="18"/>
              </w:rPr>
              <w:t>/3</w:t>
            </w:r>
            <w:r>
              <w:rPr>
                <w:rFonts w:hint="eastAsia" w:ascii="宋体" w:hAnsi="宋体" w:cs="宋体"/>
                <w:color w:val="000000"/>
                <w:sz w:val="18"/>
                <w:szCs w:val="18"/>
                <w:lang w:val="en-US" w:eastAsia="zh-CN"/>
              </w:rPr>
              <w:t>0</w:t>
            </w:r>
            <w:r>
              <w:rPr>
                <w:rFonts w:hint="eastAsia" w:ascii="宋体" w:hAnsi="宋体" w:eastAsia="宋体" w:cs="宋体"/>
                <w:color w:val="000000"/>
                <w:sz w:val="18"/>
                <w:szCs w:val="18"/>
              </w:rPr>
              <w:t>周　</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cs="宋体"/>
                <w:color w:val="000000"/>
                <w:sz w:val="18"/>
                <w:szCs w:val="18"/>
                <w:lang w:val="en-US" w:eastAsia="zh-CN"/>
              </w:rPr>
              <w:t>6.5%</w:t>
            </w:r>
            <w:r>
              <w:rPr>
                <w:rFonts w:hint="eastAsia" w:ascii="宋体" w:hAnsi="宋体" w:eastAsia="宋体" w:cs="宋体"/>
                <w:color w:val="000000"/>
                <w:sz w:val="18"/>
                <w:szCs w:val="18"/>
              </w:rPr>
              <w:t>　</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color w:val="000000"/>
                <w:sz w:val="18"/>
                <w:szCs w:val="18"/>
              </w:rPr>
              <w:t>165</w:t>
            </w:r>
          </w:p>
        </w:tc>
        <w:tc>
          <w:tcPr>
            <w:tcW w:w="578" w:type="dxa"/>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2</w:t>
            </w:r>
            <w:r>
              <w:rPr>
                <w:rFonts w:hint="eastAsia" w:ascii="宋体" w:hAnsi="宋体" w:cs="宋体"/>
                <w:bCs/>
                <w:sz w:val="18"/>
                <w:szCs w:val="18"/>
                <w:lang w:val="en-US" w:eastAsia="zh-CN"/>
              </w:rPr>
              <w:t>596</w:t>
            </w:r>
            <w:r>
              <w:rPr>
                <w:rFonts w:hint="eastAsia" w:ascii="宋体" w:hAnsi="宋体" w:eastAsia="宋体" w:cs="宋体"/>
                <w:bCs/>
                <w:sz w:val="18"/>
                <w:szCs w:val="18"/>
              </w:rPr>
              <w:t>/3</w:t>
            </w:r>
            <w:r>
              <w:rPr>
                <w:rFonts w:hint="eastAsia" w:ascii="宋体" w:hAnsi="宋体" w:cs="宋体"/>
                <w:bCs/>
                <w:sz w:val="18"/>
                <w:szCs w:val="18"/>
                <w:lang w:val="en-US" w:eastAsia="zh-CN"/>
              </w:rPr>
              <w:t>0</w:t>
            </w:r>
            <w:bookmarkStart w:id="0" w:name="_GoBack"/>
            <w:bookmarkEnd w:id="0"/>
            <w:r>
              <w:rPr>
                <w:rFonts w:hint="eastAsia" w:ascii="宋体" w:hAnsi="宋体" w:eastAsia="宋体" w:cs="宋体"/>
                <w:bCs/>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3935" w:type="dxa"/>
            <w:gridSpan w:val="3"/>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毕业总学分</w:t>
            </w:r>
          </w:p>
        </w:tc>
        <w:tc>
          <w:tcPr>
            <w:tcW w:w="5778" w:type="dxa"/>
            <w:gridSpan w:val="10"/>
            <w:vAlign w:val="center"/>
          </w:tcPr>
          <w:p>
            <w:pPr>
              <w:autoSpaceDE w:val="0"/>
              <w:autoSpaceDN w:val="0"/>
              <w:adjustRightInd w:val="0"/>
              <w:snapToGrid w:val="0"/>
              <w:jc w:val="center"/>
              <w:rPr>
                <w:rFonts w:hint="eastAsia" w:ascii="宋体" w:hAnsi="宋体" w:eastAsia="宋体" w:cs="宋体"/>
                <w:bCs/>
                <w:sz w:val="18"/>
                <w:szCs w:val="18"/>
              </w:rPr>
            </w:pPr>
            <w:r>
              <w:rPr>
                <w:rFonts w:hint="eastAsia" w:ascii="宋体" w:hAnsi="宋体" w:eastAsia="宋体" w:cs="宋体"/>
                <w:bCs/>
                <w:sz w:val="18"/>
                <w:szCs w:val="18"/>
              </w:rPr>
              <w:t>165</w:t>
            </w:r>
          </w:p>
        </w:tc>
      </w:tr>
    </w:tbl>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八、课程设置及教学进程计划表</w:t>
      </w: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（一）通识</w:t>
      </w:r>
      <w:r>
        <w:rPr>
          <w:rFonts w:ascii="黑体" w:eastAsia="黑体"/>
          <w:bCs/>
          <w:sz w:val="24"/>
        </w:rPr>
        <w:t>教育</w:t>
      </w:r>
      <w:r>
        <w:rPr>
          <w:rFonts w:hint="eastAsia" w:ascii="黑体" w:eastAsia="黑体"/>
          <w:bCs/>
          <w:sz w:val="24"/>
        </w:rPr>
        <w:t>课程</w:t>
      </w:r>
    </w:p>
    <w:p>
      <w:pPr>
        <w:autoSpaceDE w:val="0"/>
        <w:autoSpaceDN w:val="0"/>
        <w:adjustRightInd w:val="0"/>
        <w:spacing w:line="360" w:lineRule="auto"/>
        <w:rPr>
          <w:rFonts w:ascii="黑体" w:eastAsia="黑体"/>
          <w:bCs/>
          <w:sz w:val="24"/>
        </w:rPr>
      </w:pPr>
      <w:r>
        <w:rPr>
          <w:rFonts w:hint="eastAsia" w:ascii="黑体" w:eastAsia="黑体"/>
          <w:bCs/>
          <w:sz w:val="24"/>
        </w:rPr>
        <w:t>1.通识通修</w:t>
      </w:r>
      <w:r>
        <w:rPr>
          <w:rFonts w:ascii="黑体" w:eastAsia="黑体"/>
          <w:bCs/>
          <w:sz w:val="24"/>
        </w:rPr>
        <w:t>课（</w:t>
      </w:r>
      <w:r>
        <w:rPr>
          <w:rFonts w:hint="eastAsia" w:ascii="黑体" w:eastAsia="黑体"/>
          <w:bCs/>
          <w:sz w:val="24"/>
        </w:rPr>
        <w:t>共修读</w:t>
      </w:r>
      <w:r>
        <w:rPr>
          <w:rFonts w:hint="eastAsia" w:ascii="黑体" w:eastAsia="黑体"/>
          <w:bCs/>
          <w:sz w:val="24"/>
          <w:lang w:val="en-US" w:eastAsia="zh-CN"/>
        </w:rPr>
        <w:t>37</w:t>
      </w:r>
      <w:r>
        <w:rPr>
          <w:rFonts w:hint="eastAsia" w:ascii="黑体" w:eastAsia="黑体"/>
          <w:bCs/>
          <w:sz w:val="24"/>
        </w:rPr>
        <w:t>学分，</w:t>
      </w:r>
      <w:r>
        <w:rPr>
          <w:rFonts w:ascii="黑体" w:eastAsia="黑体"/>
          <w:bCs/>
          <w:sz w:val="24"/>
        </w:rPr>
        <w:t>其中</w:t>
      </w:r>
      <w:r>
        <w:rPr>
          <w:rFonts w:hint="eastAsia" w:ascii="黑体" w:eastAsia="黑体"/>
          <w:bCs/>
          <w:sz w:val="24"/>
        </w:rPr>
        <w:t>实验/实践环节修读5</w:t>
      </w:r>
      <w:r>
        <w:rPr>
          <w:rFonts w:ascii="黑体" w:eastAsia="黑体"/>
          <w:bCs/>
          <w:sz w:val="24"/>
        </w:rPr>
        <w:t>学分）</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551"/>
        <w:gridCol w:w="364"/>
        <w:gridCol w:w="549"/>
        <w:gridCol w:w="538"/>
        <w:gridCol w:w="550"/>
        <w:gridCol w:w="550"/>
        <w:gridCol w:w="426"/>
        <w:gridCol w:w="460"/>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551"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364"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Merge w:val="continue"/>
            <w:tcMar>
              <w:top w:w="57" w:type="dxa"/>
              <w:left w:w="28" w:type="dxa"/>
              <w:bottom w:w="57" w:type="dxa"/>
              <w:right w:w="28" w:type="dxa"/>
            </w:tcMar>
            <w:vAlign w:val="center"/>
          </w:tcPr>
          <w:p>
            <w:pPr>
              <w:widowControl/>
              <w:snapToGrid w:val="0"/>
              <w:ind w:left="-105" w:leftChars="-50" w:right="-105" w:rightChars="-50"/>
              <w:jc w:val="left"/>
              <w:rPr>
                <w:rFonts w:hint="eastAsia" w:ascii="宋体" w:hAnsi="宋体" w:eastAsia="宋体" w:cs="宋体"/>
                <w:sz w:val="18"/>
                <w:szCs w:val="18"/>
              </w:rPr>
            </w:pPr>
          </w:p>
        </w:tc>
        <w:tc>
          <w:tcPr>
            <w:tcW w:w="2551" w:type="dxa"/>
            <w:vMerge w:val="continue"/>
            <w:vAlign w:val="center"/>
          </w:tcPr>
          <w:p>
            <w:pPr>
              <w:widowControl/>
              <w:snapToGrid w:val="0"/>
              <w:jc w:val="left"/>
              <w:rPr>
                <w:rFonts w:hint="eastAsia" w:ascii="宋体" w:hAnsi="宋体" w:eastAsia="宋体" w:cs="宋体"/>
                <w:sz w:val="18"/>
                <w:szCs w:val="18"/>
              </w:rPr>
            </w:pPr>
          </w:p>
        </w:tc>
        <w:tc>
          <w:tcPr>
            <w:tcW w:w="364"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26"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6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310001</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思想道德修养与法律基础</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2.5</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42</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42</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2.5</w:t>
            </w:r>
          </w:p>
        </w:tc>
        <w:tc>
          <w:tcPr>
            <w:tcW w:w="460"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310002</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马克思主义基本原理</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2.5</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42</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42</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2.5</w:t>
            </w:r>
          </w:p>
        </w:tc>
        <w:tc>
          <w:tcPr>
            <w:tcW w:w="460"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310004</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中国近现代史纲要</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460"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310008</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毛泽东思想和中国特色社会主义理论体系概论</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85</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85</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310005</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形势与政策</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320001</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大学英语1</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320002</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大学英语2</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320003</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大学英语3</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320004</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大学英语4</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32S001</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大学英语网络自主学习1</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32S002</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大学英语网络自主学习2</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32S003</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大学英语网络自主学习3</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32S004</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大学英语网络自主学习4</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330001</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大学体育1</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330002</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大学体育2</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330003</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大学体育3</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330004</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大学体育4</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00S100</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军事理论</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00S100x</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军事训练</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2周</w:t>
            </w: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w:t>
            </w: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341022</w:t>
            </w:r>
          </w:p>
        </w:tc>
        <w:tc>
          <w:tcPr>
            <w:tcW w:w="2551"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大学计算机基础及上机Ⅰ-B</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17</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46"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364"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37</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658/16周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624</w:t>
            </w:r>
          </w:p>
        </w:tc>
        <w:tc>
          <w:tcPr>
            <w:tcW w:w="550" w:type="dxa"/>
            <w:tcMar>
              <w:top w:w="57" w:type="dxa"/>
              <w:left w:w="0" w:type="dxa"/>
              <w:bottom w:w="57" w:type="dxa"/>
              <w:right w:w="0" w:type="dxa"/>
            </w:tcMar>
            <w:vAlign w:val="center"/>
          </w:tcPr>
          <w:p>
            <w:pPr>
              <w:snapToGrid w:val="0"/>
              <w:ind w:right="-105" w:rightChars="-50"/>
              <w:rPr>
                <w:rFonts w:hint="eastAsia" w:ascii="宋体" w:hAnsi="宋体" w:eastAsia="宋体" w:cs="宋体"/>
                <w:sz w:val="18"/>
                <w:szCs w:val="18"/>
              </w:rPr>
            </w:pPr>
            <w:r>
              <w:rPr>
                <w:rFonts w:hint="eastAsia" w:ascii="宋体" w:hAnsi="宋体" w:eastAsia="宋体" w:cs="宋体"/>
                <w:sz w:val="18"/>
                <w:szCs w:val="18"/>
              </w:rPr>
              <w:t>34/16周</w:t>
            </w:r>
          </w:p>
        </w:tc>
        <w:tc>
          <w:tcPr>
            <w:tcW w:w="426"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15</w:t>
            </w:r>
          </w:p>
        </w:tc>
        <w:tc>
          <w:tcPr>
            <w:tcW w:w="4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bl>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2.通识通选</w:t>
      </w:r>
      <w:r>
        <w:rPr>
          <w:rFonts w:ascii="黑体" w:eastAsia="黑体"/>
          <w:bCs/>
          <w:sz w:val="24"/>
        </w:rPr>
        <w:t>课（</w:t>
      </w:r>
      <w:r>
        <w:rPr>
          <w:rFonts w:hint="eastAsia" w:ascii="黑体" w:eastAsia="黑体"/>
          <w:bCs/>
          <w:sz w:val="24"/>
        </w:rPr>
        <w:t>最低修读</w:t>
      </w:r>
      <w:r>
        <w:rPr>
          <w:rFonts w:ascii="黑体" w:eastAsia="黑体"/>
          <w:bCs/>
          <w:sz w:val="24"/>
        </w:rPr>
        <w:t>1</w:t>
      </w:r>
      <w:r>
        <w:rPr>
          <w:rFonts w:hint="eastAsia" w:ascii="黑体" w:eastAsia="黑体"/>
          <w:bCs/>
          <w:sz w:val="24"/>
        </w:rPr>
        <w:t>8学分，</w:t>
      </w:r>
      <w:r>
        <w:rPr>
          <w:rFonts w:ascii="黑体" w:eastAsia="黑体"/>
          <w:bCs/>
          <w:sz w:val="24"/>
        </w:rPr>
        <w:t>其中</w:t>
      </w:r>
      <w:r>
        <w:rPr>
          <w:rFonts w:hint="eastAsia" w:ascii="黑体" w:eastAsia="黑体"/>
          <w:bCs/>
          <w:sz w:val="24"/>
        </w:rPr>
        <w:t>实验/实践环节最低修读</w:t>
      </w:r>
      <w:r>
        <w:rPr>
          <w:rFonts w:ascii="黑体" w:eastAsia="黑体"/>
          <w:bCs/>
          <w:sz w:val="24"/>
        </w:rPr>
        <w:t>6</w:t>
      </w:r>
      <w:r>
        <w:rPr>
          <w:rFonts w:hint="eastAsia" w:ascii="黑体" w:eastAsia="黑体"/>
          <w:bCs/>
          <w:sz w:val="24"/>
        </w:rPr>
        <w:t>学分</w:t>
      </w:r>
      <w:r>
        <w:rPr>
          <w:rFonts w:ascii="黑体" w:eastAsia="黑体"/>
          <w:bCs/>
          <w:sz w:val="24"/>
        </w:rPr>
        <w:t>）</w:t>
      </w:r>
    </w:p>
    <w:tbl>
      <w:tblPr>
        <w:tblStyle w:val="21"/>
        <w:tblW w:w="9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848"/>
        <w:gridCol w:w="99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1561" w:hRule="atLeast"/>
          <w:jc w:val="center"/>
        </w:trPr>
        <w:tc>
          <w:tcPr>
            <w:tcW w:w="848" w:type="dxa"/>
            <w:vMerge w:val="restart"/>
            <w:tcBorders>
              <w:top w:val="single" w:color="auto" w:sz="4" w:space="0"/>
              <w:left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通识通选理论课</w:t>
            </w:r>
          </w:p>
        </w:tc>
        <w:tc>
          <w:tcPr>
            <w:tcW w:w="995" w:type="dxa"/>
            <w:tcBorders>
              <w:top w:val="single" w:color="auto" w:sz="4" w:space="0"/>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通用要求</w:t>
            </w:r>
          </w:p>
        </w:tc>
        <w:tc>
          <w:tcPr>
            <w:tcW w:w="7796" w:type="dxa"/>
            <w:tcBorders>
              <w:left w:val="single" w:color="auto" w:sz="4" w:space="0"/>
            </w:tcBorders>
            <w:vAlign w:val="center"/>
          </w:tcPr>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包括人文科学与艺术类（含艺术类限定性选修课）、社会科学与行为科学类、自然科学与现代科学技术类、生物科学与医学类、就业创业与国防教育类（含就业指导类、创业教育类限定性选修课，以及听、说、读、写等专项技能课程）、综合性课程（实验）类。</w:t>
            </w:r>
          </w:p>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修读要求：最低修读12学分，每类课程最高修读4学分，其中包括1门艺术类限定性选修课、1门就业指导类限定性选修课、1门创业教育类限定性选修课。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321" w:hRule="atLeast"/>
          <w:jc w:val="center"/>
        </w:trPr>
        <w:tc>
          <w:tcPr>
            <w:tcW w:w="848" w:type="dxa"/>
            <w:vMerge w:val="continue"/>
            <w:tcBorders>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p>
        </w:tc>
        <w:tc>
          <w:tcPr>
            <w:tcW w:w="995" w:type="dxa"/>
            <w:tcBorders>
              <w:top w:val="single" w:color="auto" w:sz="4" w:space="0"/>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专业要求</w:t>
            </w:r>
          </w:p>
        </w:tc>
        <w:tc>
          <w:tcPr>
            <w:tcW w:w="7796" w:type="dxa"/>
            <w:tcBorders>
              <w:left w:val="single" w:color="auto" w:sz="4" w:space="0"/>
            </w:tcBorders>
            <w:vAlign w:val="center"/>
          </w:tcPr>
          <w:p>
            <w:pPr>
              <w:widowControl w:val="0"/>
              <w:wordWrap/>
              <w:adjustRightInd w:val="0"/>
              <w:snapToGrid w:val="0"/>
              <w:spacing w:line="240" w:lineRule="auto"/>
              <w:ind w:left="0" w:leftChars="0" w:right="0" w:firstLine="0" w:firstLineChars="0"/>
              <w:textAlignment w:val="auto"/>
              <w:outlineLvl w:val="9"/>
              <w:rPr>
                <w:rFonts w:hint="eastAsia" w:ascii="宋体" w:hAnsi="宋体" w:eastAsia="宋体" w:cs="宋体"/>
                <w:color w:val="FF0000"/>
                <w:sz w:val="18"/>
                <w:szCs w:val="18"/>
                <w:u w:val="single"/>
              </w:rPr>
            </w:pPr>
            <w:r>
              <w:rPr>
                <w:rFonts w:hint="eastAsia" w:ascii="宋体" w:hAnsi="宋体" w:eastAsia="宋体" w:cs="宋体"/>
                <w:sz w:val="18"/>
                <w:szCs w:val="18"/>
              </w:rPr>
              <w:t>学生应根据自己兴趣自主选择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694" w:hRule="atLeast"/>
          <w:jc w:val="center"/>
        </w:trPr>
        <w:tc>
          <w:tcPr>
            <w:tcW w:w="1843" w:type="dxa"/>
            <w:gridSpan w:val="2"/>
            <w:tcBorders>
              <w:top w:val="single" w:color="auto" w:sz="4" w:space="0"/>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通识通选实践课</w:t>
            </w:r>
          </w:p>
        </w:tc>
        <w:tc>
          <w:tcPr>
            <w:tcW w:w="7796" w:type="dxa"/>
            <w:tcBorders>
              <w:left w:val="single" w:color="auto" w:sz="4" w:space="0"/>
            </w:tcBorders>
            <w:vAlign w:val="center"/>
          </w:tcPr>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包括通识教育讲座、就业创业训练、校外社会实践、志愿服务等，统一安排在集中实践教学周。</w:t>
            </w:r>
          </w:p>
          <w:p>
            <w:pPr>
              <w:widowControl w:val="0"/>
              <w:wordWrap/>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修读要求：最低修读6学分。</w:t>
            </w:r>
          </w:p>
        </w:tc>
      </w:tr>
    </w:tbl>
    <w:p>
      <w:pPr>
        <w:autoSpaceDE w:val="0"/>
        <w:autoSpaceDN w:val="0"/>
        <w:adjustRightInd w:val="0"/>
        <w:spacing w:line="360" w:lineRule="auto"/>
        <w:rPr>
          <w:rFonts w:ascii="黑体" w:eastAsia="黑体"/>
          <w:bCs/>
          <w:sz w:val="24"/>
        </w:rPr>
      </w:pPr>
      <w:r>
        <w:rPr>
          <w:rFonts w:hint="eastAsia" w:ascii="黑体" w:eastAsia="黑体"/>
          <w:bCs/>
          <w:sz w:val="24"/>
        </w:rPr>
        <w:t>（二）学科</w:t>
      </w:r>
      <w:r>
        <w:rPr>
          <w:rFonts w:ascii="黑体" w:eastAsia="黑体"/>
          <w:bCs/>
          <w:sz w:val="24"/>
        </w:rPr>
        <w:t>基础</w:t>
      </w:r>
      <w:r>
        <w:rPr>
          <w:rFonts w:hint="eastAsia" w:ascii="黑体" w:eastAsia="黑体"/>
          <w:bCs/>
          <w:sz w:val="24"/>
        </w:rPr>
        <w:t>课程</w:t>
      </w:r>
    </w:p>
    <w:p>
      <w:pPr>
        <w:autoSpaceDE w:val="0"/>
        <w:autoSpaceDN w:val="0"/>
        <w:adjustRightInd w:val="0"/>
        <w:spacing w:line="360" w:lineRule="auto"/>
        <w:rPr>
          <w:rFonts w:ascii="黑体" w:eastAsia="黑体"/>
          <w:bCs/>
          <w:sz w:val="24"/>
        </w:rPr>
      </w:pPr>
      <w:r>
        <w:rPr>
          <w:rFonts w:ascii="黑体" w:eastAsia="黑体"/>
          <w:bCs/>
          <w:sz w:val="24"/>
        </w:rPr>
        <w:t>1.</w:t>
      </w:r>
      <w:r>
        <w:rPr>
          <w:rFonts w:hint="eastAsia" w:ascii="黑体" w:eastAsia="黑体"/>
          <w:bCs/>
          <w:sz w:val="24"/>
        </w:rPr>
        <w:t>学科</w:t>
      </w:r>
      <w:r>
        <w:rPr>
          <w:rFonts w:ascii="黑体" w:eastAsia="黑体"/>
          <w:bCs/>
          <w:sz w:val="24"/>
        </w:rPr>
        <w:t>基础必修课</w:t>
      </w:r>
      <w:r>
        <w:rPr>
          <w:rFonts w:hint="eastAsia" w:ascii="黑体" w:eastAsia="黑体"/>
          <w:bCs/>
          <w:sz w:val="24"/>
        </w:rPr>
        <w:t>（共修读</w:t>
      </w:r>
      <w:r>
        <w:rPr>
          <w:rFonts w:hint="eastAsia" w:ascii="黑体" w:eastAsia="黑体"/>
          <w:bCs/>
          <w:sz w:val="24"/>
          <w:lang w:val="en-US" w:eastAsia="zh-CN"/>
        </w:rPr>
        <w:t>44</w:t>
      </w:r>
      <w:r>
        <w:rPr>
          <w:rFonts w:hint="eastAsia" w:ascii="黑体" w:eastAsia="黑体"/>
          <w:bCs/>
          <w:sz w:val="24"/>
        </w:rPr>
        <w:t>学分，</w:t>
      </w:r>
      <w:r>
        <w:rPr>
          <w:rFonts w:ascii="黑体" w:eastAsia="黑体"/>
          <w:bCs/>
          <w:sz w:val="24"/>
        </w:rPr>
        <w:t>其中</w:t>
      </w:r>
      <w:r>
        <w:rPr>
          <w:rFonts w:hint="eastAsia" w:ascii="黑体" w:eastAsia="黑体"/>
          <w:bCs/>
          <w:sz w:val="24"/>
        </w:rPr>
        <w:t>实验/实践环节修读1</w:t>
      </w:r>
      <w:r>
        <w:rPr>
          <w:rFonts w:ascii="黑体" w:eastAsia="黑体"/>
          <w:bCs/>
          <w:sz w:val="24"/>
        </w:rPr>
        <w:t>学分</w:t>
      </w:r>
      <w:r>
        <w:rPr>
          <w:rFonts w:hint="eastAsia" w:ascii="黑体" w:eastAsia="黑体"/>
          <w:bCs/>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030001</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政治经济学</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030002</w:t>
            </w:r>
          </w:p>
        </w:tc>
        <w:tc>
          <w:tcPr>
            <w:tcW w:w="2413" w:type="dxa"/>
            <w:vAlign w:val="center"/>
          </w:tcPr>
          <w:p>
            <w:pPr>
              <w:snapToGrid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微观经济学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030003</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宏观经济学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28" w:type="dxa"/>
              <w:bottom w:w="57" w:type="dxa"/>
              <w:right w:w="28"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030004</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国际经济学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28" w:type="dxa"/>
              <w:bottom w:w="57" w:type="dxa"/>
              <w:right w:w="28"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030006</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会计学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28" w:type="dxa"/>
              <w:bottom w:w="57" w:type="dxa"/>
              <w:right w:w="28"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030007</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货币银行学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28" w:type="dxa"/>
              <w:bottom w:w="57" w:type="dxa"/>
              <w:right w:w="28"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030008</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财政学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28" w:type="dxa"/>
              <w:bottom w:w="57" w:type="dxa"/>
              <w:right w:w="28"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030029</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计量经济学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28" w:type="dxa"/>
              <w:bottom w:w="57" w:type="dxa"/>
              <w:right w:w="28" w:type="dxa"/>
            </w:tcMar>
            <w:vAlign w:val="top"/>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910002</w:t>
            </w:r>
          </w:p>
        </w:tc>
        <w:tc>
          <w:tcPr>
            <w:tcW w:w="2413" w:type="dxa"/>
            <w:vAlign w:val="center"/>
          </w:tcPr>
          <w:p>
            <w:pPr>
              <w:snapToGrid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大学数学B（微积分</w:t>
            </w:r>
            <w:r>
              <w:rPr>
                <w:rFonts w:hint="eastAsia" w:ascii="宋体" w:hAnsi="宋体" w:eastAsia="宋体" w:cs="宋体"/>
                <w:color w:val="auto"/>
                <w:sz w:val="18"/>
                <w:szCs w:val="18"/>
              </w:rPr>
              <w:t>1</w:t>
            </w:r>
            <w:r>
              <w:rPr>
                <w:rFonts w:hint="eastAsia" w:ascii="宋体" w:hAnsi="宋体" w:eastAsia="宋体" w:cs="宋体"/>
                <w:color w:val="auto"/>
                <w:kern w:val="0"/>
                <w:sz w:val="18"/>
                <w:szCs w:val="18"/>
              </w:rPr>
              <w:t>）</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549" w:type="dxa"/>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910003</w:t>
            </w:r>
          </w:p>
        </w:tc>
        <w:tc>
          <w:tcPr>
            <w:tcW w:w="2413" w:type="dxa"/>
            <w:vAlign w:val="center"/>
          </w:tcPr>
          <w:p>
            <w:pPr>
              <w:snapToGrid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大学数学B（微积分</w:t>
            </w:r>
            <w:r>
              <w:rPr>
                <w:rFonts w:hint="eastAsia" w:ascii="宋体" w:hAnsi="宋体" w:eastAsia="宋体" w:cs="宋体"/>
                <w:color w:val="auto"/>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549" w:type="dxa"/>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910004</w:t>
            </w:r>
          </w:p>
        </w:tc>
        <w:tc>
          <w:tcPr>
            <w:tcW w:w="2413" w:type="dxa"/>
            <w:vAlign w:val="center"/>
          </w:tcPr>
          <w:p>
            <w:pPr>
              <w:snapToGrid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大学数学B（线性代数）</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549" w:type="dxa"/>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910005</w:t>
            </w:r>
          </w:p>
        </w:tc>
        <w:tc>
          <w:tcPr>
            <w:tcW w:w="2413" w:type="dxa"/>
            <w:vAlign w:val="center"/>
          </w:tcPr>
          <w:p>
            <w:pPr>
              <w:snapToGrid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大学数学B（概率论与数理统计）</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549" w:type="dxa"/>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68</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341009</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大学计算机基础Ⅱ—B（数据库应用技术）</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341015</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大学计算机基础Ⅱ—B（数据库应用技术上机）</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030029sy</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计量经济学实验</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44</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780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731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49</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17</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bl>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2.</w:t>
      </w:r>
      <w:r>
        <w:rPr>
          <w:rFonts w:ascii="黑体" w:eastAsia="黑体"/>
          <w:bCs/>
          <w:sz w:val="24"/>
        </w:rPr>
        <w:t>学科</w:t>
      </w:r>
      <w:r>
        <w:rPr>
          <w:rFonts w:hint="eastAsia" w:ascii="黑体" w:eastAsia="黑体"/>
          <w:bCs/>
          <w:sz w:val="24"/>
        </w:rPr>
        <w:t>（</w:t>
      </w:r>
      <w:r>
        <w:rPr>
          <w:rFonts w:ascii="黑体" w:eastAsia="黑体"/>
          <w:bCs/>
          <w:sz w:val="24"/>
        </w:rPr>
        <w:t>跨学科</w:t>
      </w:r>
      <w:r>
        <w:rPr>
          <w:rFonts w:hint="eastAsia" w:ascii="黑体" w:eastAsia="黑体"/>
          <w:bCs/>
          <w:sz w:val="24"/>
        </w:rPr>
        <w:t>）</w:t>
      </w:r>
      <w:r>
        <w:rPr>
          <w:rFonts w:ascii="黑体" w:eastAsia="黑体"/>
          <w:bCs/>
          <w:sz w:val="24"/>
        </w:rPr>
        <w:t>选修课（</w:t>
      </w:r>
      <w:r>
        <w:rPr>
          <w:rFonts w:hint="eastAsia" w:ascii="黑体" w:eastAsia="黑体"/>
          <w:bCs/>
          <w:sz w:val="24"/>
        </w:rPr>
        <w:t>最低修读11学分</w:t>
      </w:r>
      <w:r>
        <w:rPr>
          <w:rFonts w:ascii="黑体" w:eastAsia="黑体"/>
          <w:bCs/>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030014</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经济应用文写作</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030020</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保险学</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030022</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国际金融</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031034</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投资学</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031002</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中级微宏观经济学</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030013</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经济法</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030017</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人力资源管理</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030018</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现代营销学</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030019</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kern w:val="0"/>
                <w:sz w:val="18"/>
                <w:szCs w:val="18"/>
              </w:rPr>
              <w:t>社会保障概论</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030043</w:t>
            </w:r>
          </w:p>
        </w:tc>
        <w:tc>
          <w:tcPr>
            <w:tcW w:w="2413"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管理学</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color w:val="000000"/>
                <w:sz w:val="18"/>
                <w:szCs w:val="18"/>
              </w:rPr>
              <w:t>28</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color w:val="000000"/>
                <w:sz w:val="18"/>
                <w:szCs w:val="18"/>
              </w:rPr>
              <w:t>476</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color w:val="000000"/>
                <w:sz w:val="18"/>
                <w:szCs w:val="18"/>
              </w:rPr>
              <w:t>476</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color w:val="000000"/>
                <w:sz w:val="18"/>
                <w:szCs w:val="18"/>
              </w:rPr>
              <w:t>6</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color w:val="000000"/>
                <w:sz w:val="18"/>
                <w:szCs w:val="18"/>
              </w:rPr>
              <w:t>6</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color w:val="000000"/>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eastAsia="zh-CN"/>
              </w:rPr>
            </w:pPr>
            <w:r>
              <w:rPr>
                <w:rFonts w:hint="eastAsia" w:ascii="宋体" w:hAnsi="宋体" w:eastAsia="宋体" w:cs="宋体"/>
                <w:color w:val="000000"/>
                <w:sz w:val="18"/>
                <w:szCs w:val="18"/>
                <w:lang w:val="en-US" w:eastAsia="zh-CN"/>
              </w:rPr>
              <w:t>8</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bl>
    <w:p>
      <w:pPr>
        <w:autoSpaceDE w:val="0"/>
        <w:autoSpaceDN w:val="0"/>
        <w:adjustRightInd w:val="0"/>
        <w:spacing w:line="360" w:lineRule="auto"/>
        <w:rPr>
          <w:rFonts w:ascii="黑体" w:eastAsia="黑体"/>
          <w:bCs/>
          <w:sz w:val="24"/>
        </w:rPr>
      </w:pPr>
      <w:r>
        <w:rPr>
          <w:rFonts w:hint="eastAsia" w:ascii="黑体" w:eastAsia="黑体"/>
          <w:bCs/>
          <w:sz w:val="24"/>
        </w:rPr>
        <w:t>（三）专业</w:t>
      </w:r>
      <w:r>
        <w:rPr>
          <w:rFonts w:ascii="黑体" w:eastAsia="黑体"/>
          <w:bCs/>
          <w:sz w:val="24"/>
        </w:rPr>
        <w:t>发展课程</w:t>
      </w:r>
    </w:p>
    <w:p>
      <w:pPr>
        <w:autoSpaceDE w:val="0"/>
        <w:autoSpaceDN w:val="0"/>
        <w:adjustRightInd w:val="0"/>
        <w:spacing w:line="360" w:lineRule="auto"/>
        <w:rPr>
          <w:rFonts w:ascii="黑体" w:eastAsia="黑体"/>
          <w:bCs/>
          <w:sz w:val="24"/>
        </w:rPr>
      </w:pPr>
      <w:r>
        <w:rPr>
          <w:rFonts w:hint="eastAsia" w:ascii="黑体" w:eastAsia="黑体"/>
          <w:bCs/>
          <w:sz w:val="24"/>
        </w:rPr>
        <w:t>1.</w:t>
      </w:r>
      <w:r>
        <w:rPr>
          <w:rFonts w:ascii="黑体" w:eastAsia="黑体"/>
          <w:bCs/>
          <w:sz w:val="24"/>
        </w:rPr>
        <w:t>专业发展</w:t>
      </w:r>
      <w:r>
        <w:rPr>
          <w:rFonts w:hint="eastAsia" w:ascii="黑体" w:eastAsia="黑体"/>
          <w:bCs/>
          <w:sz w:val="24"/>
        </w:rPr>
        <w:t>核心</w:t>
      </w:r>
      <w:r>
        <w:rPr>
          <w:rFonts w:ascii="黑体" w:eastAsia="黑体"/>
          <w:bCs/>
          <w:sz w:val="24"/>
        </w:rPr>
        <w:t>课</w:t>
      </w:r>
      <w:r>
        <w:rPr>
          <w:rFonts w:hint="eastAsia" w:ascii="黑体" w:eastAsia="黑体"/>
          <w:bCs/>
          <w:sz w:val="24"/>
        </w:rPr>
        <w:t>（共修读30学分，</w:t>
      </w:r>
      <w:r>
        <w:rPr>
          <w:rFonts w:ascii="黑体" w:eastAsia="黑体"/>
          <w:bCs/>
          <w:sz w:val="24"/>
        </w:rPr>
        <w:t>其中</w:t>
      </w:r>
      <w:r>
        <w:rPr>
          <w:rFonts w:hint="eastAsia" w:ascii="黑体" w:eastAsia="黑体"/>
          <w:bCs/>
          <w:sz w:val="24"/>
        </w:rPr>
        <w:t>实验/实践环节修读11</w:t>
      </w:r>
      <w:r>
        <w:rPr>
          <w:rFonts w:ascii="黑体" w:eastAsia="黑体"/>
          <w:bCs/>
          <w:sz w:val="24"/>
        </w:rPr>
        <w:t>学分</w:t>
      </w:r>
      <w:r>
        <w:rPr>
          <w:rFonts w:hint="eastAsia" w:ascii="黑体" w:eastAsia="黑体"/>
          <w:bCs/>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030061</w:t>
            </w:r>
          </w:p>
        </w:tc>
        <w:tc>
          <w:tcPr>
            <w:tcW w:w="2413" w:type="dxa"/>
            <w:vAlign w:val="center"/>
          </w:tcPr>
          <w:p>
            <w:pPr>
              <w:snapToGrid w:val="0"/>
              <w:ind w:firstLine="5"/>
              <w:rPr>
                <w:rFonts w:hint="eastAsia" w:ascii="宋体" w:hAnsi="宋体" w:eastAsia="宋体" w:cs="宋体"/>
                <w:sz w:val="18"/>
                <w:szCs w:val="18"/>
              </w:rPr>
            </w:pPr>
            <w:r>
              <w:rPr>
                <w:rFonts w:hint="eastAsia" w:ascii="宋体" w:hAnsi="宋体" w:eastAsia="宋体" w:cs="宋体"/>
                <w:sz w:val="18"/>
                <w:szCs w:val="18"/>
              </w:rPr>
              <w:t>统计学</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030063</w:t>
            </w:r>
          </w:p>
        </w:tc>
        <w:tc>
          <w:tcPr>
            <w:tcW w:w="2413" w:type="dxa"/>
            <w:vAlign w:val="center"/>
          </w:tcPr>
          <w:p>
            <w:pPr>
              <w:snapToGrid w:val="0"/>
              <w:ind w:firstLine="5"/>
              <w:rPr>
                <w:rFonts w:hint="eastAsia" w:ascii="宋体" w:hAnsi="宋体" w:eastAsia="宋体" w:cs="宋体"/>
                <w:sz w:val="18"/>
                <w:szCs w:val="18"/>
              </w:rPr>
            </w:pPr>
            <w:r>
              <w:rPr>
                <w:rFonts w:hint="eastAsia" w:ascii="宋体" w:hAnsi="宋体" w:eastAsia="宋体" w:cs="宋体"/>
                <w:sz w:val="18"/>
                <w:szCs w:val="18"/>
              </w:rPr>
              <w:t>国民经济核算</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031009</w:t>
            </w:r>
          </w:p>
        </w:tc>
        <w:tc>
          <w:tcPr>
            <w:tcW w:w="2413" w:type="dxa"/>
            <w:vAlign w:val="center"/>
          </w:tcPr>
          <w:p>
            <w:pPr>
              <w:snapToGrid w:val="0"/>
              <w:ind w:firstLine="5"/>
              <w:rPr>
                <w:rFonts w:hint="eastAsia" w:ascii="宋体" w:hAnsi="宋体" w:eastAsia="宋体" w:cs="宋体"/>
                <w:sz w:val="18"/>
                <w:szCs w:val="18"/>
              </w:rPr>
            </w:pPr>
            <w:r>
              <w:rPr>
                <w:rFonts w:hint="eastAsia" w:ascii="宋体" w:hAnsi="宋体" w:eastAsia="宋体" w:cs="宋体"/>
                <w:sz w:val="18"/>
                <w:szCs w:val="18"/>
              </w:rPr>
              <w:t>多元统计分析</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031009sy</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多元统计分析实验</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15</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15</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030072</w:t>
            </w:r>
          </w:p>
        </w:tc>
        <w:tc>
          <w:tcPr>
            <w:tcW w:w="2413" w:type="dxa"/>
            <w:vAlign w:val="center"/>
          </w:tcPr>
          <w:p>
            <w:pPr>
              <w:snapToGrid w:val="0"/>
              <w:ind w:firstLine="5"/>
              <w:rPr>
                <w:rFonts w:hint="eastAsia" w:ascii="宋体" w:hAnsi="宋体" w:eastAsia="宋体" w:cs="宋体"/>
                <w:sz w:val="18"/>
                <w:szCs w:val="18"/>
              </w:rPr>
            </w:pPr>
            <w:r>
              <w:rPr>
                <w:rFonts w:hint="eastAsia" w:ascii="宋体" w:hAnsi="宋体" w:eastAsia="宋体" w:cs="宋体"/>
                <w:sz w:val="18"/>
                <w:szCs w:val="18"/>
              </w:rPr>
              <w:t>时间序列分析</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030072sy</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时间序列分析实验</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15</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15</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030070</w:t>
            </w:r>
          </w:p>
        </w:tc>
        <w:tc>
          <w:tcPr>
            <w:tcW w:w="2413" w:type="dxa"/>
            <w:vAlign w:val="center"/>
          </w:tcPr>
          <w:p>
            <w:pPr>
              <w:snapToGrid w:val="0"/>
              <w:ind w:firstLine="5" w:firstLineChars="0"/>
              <w:rPr>
                <w:rFonts w:hint="eastAsia" w:ascii="宋体" w:hAnsi="宋体" w:eastAsia="宋体" w:cs="宋体"/>
                <w:sz w:val="18"/>
                <w:szCs w:val="18"/>
              </w:rPr>
            </w:pPr>
            <w:r>
              <w:rPr>
                <w:rFonts w:hint="eastAsia" w:ascii="宋体" w:hAnsi="宋体" w:eastAsia="宋体" w:cs="宋体"/>
                <w:sz w:val="18"/>
                <w:szCs w:val="18"/>
              </w:rPr>
              <w:t>统计预测与决策</w:t>
            </w:r>
          </w:p>
        </w:tc>
        <w:tc>
          <w:tcPr>
            <w:tcW w:w="549" w:type="dxa"/>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030070sy</w:t>
            </w:r>
          </w:p>
        </w:tc>
        <w:tc>
          <w:tcPr>
            <w:tcW w:w="2413" w:type="dxa"/>
            <w:vAlign w:val="center"/>
          </w:tcPr>
          <w:p>
            <w:pPr>
              <w:snapToGrid w:val="0"/>
              <w:ind w:firstLine="5" w:firstLineChars="0"/>
              <w:rPr>
                <w:rFonts w:hint="eastAsia" w:ascii="宋体" w:hAnsi="宋体" w:eastAsia="宋体" w:cs="宋体"/>
                <w:color w:val="auto"/>
                <w:sz w:val="18"/>
                <w:szCs w:val="18"/>
              </w:rPr>
            </w:pPr>
            <w:r>
              <w:rPr>
                <w:rFonts w:hint="eastAsia" w:ascii="宋体" w:hAnsi="宋体" w:eastAsia="宋体" w:cs="宋体"/>
                <w:color w:val="auto"/>
                <w:sz w:val="18"/>
                <w:szCs w:val="18"/>
              </w:rPr>
              <w:t>统计预测与决策实验</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0</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48" w:type="dxa"/>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031010</w:t>
            </w:r>
          </w:p>
        </w:tc>
        <w:tc>
          <w:tcPr>
            <w:tcW w:w="2413" w:type="dxa"/>
            <w:vAlign w:val="center"/>
          </w:tcPr>
          <w:p>
            <w:pPr>
              <w:snapToGrid w:val="0"/>
              <w:ind w:firstLine="5" w:firstLineChars="0"/>
              <w:rPr>
                <w:rFonts w:hint="eastAsia" w:ascii="宋体" w:hAnsi="宋体" w:eastAsia="宋体" w:cs="宋体"/>
                <w:sz w:val="18"/>
                <w:szCs w:val="18"/>
              </w:rPr>
            </w:pPr>
            <w:r>
              <w:rPr>
                <w:rFonts w:hint="eastAsia" w:ascii="宋体" w:hAnsi="宋体" w:eastAsia="宋体" w:cs="宋体"/>
                <w:sz w:val="18"/>
                <w:szCs w:val="18"/>
              </w:rPr>
              <w:t>抽样技术</w:t>
            </w:r>
          </w:p>
        </w:tc>
        <w:tc>
          <w:tcPr>
            <w:tcW w:w="549" w:type="dxa"/>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030039</w:t>
            </w:r>
          </w:p>
        </w:tc>
        <w:tc>
          <w:tcPr>
            <w:tcW w:w="2413" w:type="dxa"/>
            <w:vAlign w:val="center"/>
          </w:tcPr>
          <w:p>
            <w:pPr>
              <w:snapToGrid w:val="0"/>
              <w:ind w:firstLine="5"/>
              <w:rPr>
                <w:rFonts w:hint="eastAsia" w:ascii="宋体" w:hAnsi="宋体" w:eastAsia="宋体" w:cs="宋体"/>
                <w:sz w:val="18"/>
                <w:szCs w:val="18"/>
              </w:rPr>
            </w:pPr>
            <w:r>
              <w:rPr>
                <w:rFonts w:hint="eastAsia" w:ascii="宋体" w:hAnsi="宋体" w:eastAsia="宋体" w:cs="宋体"/>
                <w:sz w:val="18"/>
                <w:szCs w:val="18"/>
              </w:rPr>
              <w:t>毕业实习</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4周</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030040</w:t>
            </w:r>
          </w:p>
        </w:tc>
        <w:tc>
          <w:tcPr>
            <w:tcW w:w="2413" w:type="dxa"/>
            <w:vAlign w:val="center"/>
          </w:tcPr>
          <w:p>
            <w:pPr>
              <w:snapToGrid w:val="0"/>
              <w:ind w:firstLine="5"/>
              <w:rPr>
                <w:rFonts w:hint="eastAsia" w:ascii="宋体" w:hAnsi="宋体" w:eastAsia="宋体" w:cs="宋体"/>
                <w:sz w:val="18"/>
                <w:szCs w:val="18"/>
              </w:rPr>
            </w:pPr>
            <w:r>
              <w:rPr>
                <w:rFonts w:hint="eastAsia" w:ascii="宋体" w:hAnsi="宋体" w:eastAsia="宋体" w:cs="宋体"/>
                <w:sz w:val="18"/>
                <w:szCs w:val="18"/>
              </w:rPr>
              <w:t>毕业论文</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8周</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30</w:t>
            </w:r>
          </w:p>
        </w:tc>
        <w:tc>
          <w:tcPr>
            <w:tcW w:w="549" w:type="dxa"/>
            <w:vAlign w:val="center"/>
          </w:tcPr>
          <w:p>
            <w:pPr>
              <w:snapToGrid w:val="0"/>
              <w:ind w:left="-105" w:leftChars="-50" w:right="-105" w:rightChars="-50" w:firstLine="5"/>
              <w:jc w:val="center"/>
              <w:rPr>
                <w:rFonts w:hint="eastAsia" w:ascii="宋体" w:hAnsi="宋体" w:eastAsia="宋体" w:cs="宋体"/>
                <w:sz w:val="18"/>
                <w:szCs w:val="18"/>
              </w:rPr>
            </w:pP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r>
              <w:rPr>
                <w:rFonts w:hint="eastAsia" w:ascii="宋体" w:hAnsi="宋体" w:eastAsia="宋体" w:cs="宋体"/>
                <w:sz w:val="18"/>
                <w:szCs w:val="18"/>
                <w:lang w:val="en-US" w:eastAsia="zh-CN"/>
              </w:rPr>
              <w:t>6</w:t>
            </w:r>
            <w:r>
              <w:rPr>
                <w:rFonts w:hint="eastAsia" w:ascii="宋体" w:hAnsi="宋体" w:eastAsia="宋体" w:cs="宋体"/>
                <w:sz w:val="18"/>
                <w:szCs w:val="18"/>
              </w:rPr>
              <w:t>8/12周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323</w:t>
            </w:r>
          </w:p>
        </w:tc>
        <w:tc>
          <w:tcPr>
            <w:tcW w:w="550" w:type="dxa"/>
            <w:tcMar>
              <w:top w:w="57" w:type="dxa"/>
              <w:left w:w="0" w:type="dxa"/>
              <w:bottom w:w="57" w:type="dxa"/>
              <w:right w:w="0" w:type="dxa"/>
            </w:tcMar>
            <w:vAlign w:val="center"/>
          </w:tcPr>
          <w:p>
            <w:pPr>
              <w:snapToGrid w:val="0"/>
              <w:jc w:val="left"/>
              <w:rPr>
                <w:rFonts w:hint="eastAsia" w:ascii="宋体" w:hAnsi="宋体" w:eastAsia="宋体" w:cs="宋体"/>
                <w:sz w:val="18"/>
                <w:szCs w:val="18"/>
              </w:rPr>
            </w:pPr>
            <w:r>
              <w:rPr>
                <w:rFonts w:hint="eastAsia" w:ascii="宋体" w:hAnsi="宋体" w:eastAsia="宋体" w:cs="宋体"/>
                <w:sz w:val="18"/>
                <w:szCs w:val="18"/>
                <w:lang w:val="en-US" w:eastAsia="zh-CN"/>
              </w:rPr>
              <w:t>4</w:t>
            </w:r>
            <w:r>
              <w:rPr>
                <w:rFonts w:hint="eastAsia" w:ascii="宋体" w:hAnsi="宋体" w:eastAsia="宋体" w:cs="宋体"/>
                <w:sz w:val="18"/>
                <w:szCs w:val="18"/>
              </w:rPr>
              <w:t>5/12周</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7</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9</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11</w:t>
            </w:r>
          </w:p>
        </w:tc>
      </w:tr>
    </w:tbl>
    <w:p>
      <w:pPr>
        <w:autoSpaceDE w:val="0"/>
        <w:autoSpaceDN w:val="0"/>
        <w:adjustRightInd w:val="0"/>
        <w:spacing w:line="360" w:lineRule="auto"/>
        <w:rPr>
          <w:rFonts w:ascii="黑体" w:eastAsia="黑体"/>
          <w:bCs/>
          <w:sz w:val="24"/>
        </w:rPr>
      </w:pPr>
      <w:r>
        <w:rPr>
          <w:rFonts w:hint="eastAsia" w:ascii="黑体" w:eastAsia="黑体"/>
          <w:bCs/>
          <w:sz w:val="24"/>
        </w:rPr>
        <w:t>2.</w:t>
      </w:r>
      <w:r>
        <w:rPr>
          <w:rFonts w:ascii="黑体" w:eastAsia="黑体"/>
          <w:bCs/>
          <w:sz w:val="24"/>
        </w:rPr>
        <w:t>专业发展</w:t>
      </w:r>
      <w:r>
        <w:rPr>
          <w:rFonts w:hint="eastAsia" w:ascii="黑体" w:eastAsia="黑体"/>
          <w:bCs/>
          <w:sz w:val="24"/>
        </w:rPr>
        <w:t>拓展</w:t>
      </w:r>
      <w:r>
        <w:rPr>
          <w:rFonts w:ascii="黑体" w:eastAsia="黑体"/>
          <w:bCs/>
          <w:sz w:val="24"/>
        </w:rPr>
        <w:t>课（</w:t>
      </w:r>
      <w:r>
        <w:rPr>
          <w:rFonts w:hint="eastAsia" w:ascii="黑体" w:eastAsia="黑体"/>
          <w:bCs/>
          <w:sz w:val="24"/>
        </w:rPr>
        <w:t>最低修读20学分</w:t>
      </w:r>
      <w:r>
        <w:rPr>
          <w:rFonts w:ascii="黑体" w:eastAsia="黑体"/>
          <w:bCs/>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031061</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国民经济管理学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031062</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应用随机过程</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030074</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sz w:val="18"/>
                <w:szCs w:val="18"/>
              </w:rPr>
              <w:t>保险精算</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031037</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金融统计学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030073</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社会经济调查方法</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031064</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数据库管理系统</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031064sy</w:t>
            </w:r>
          </w:p>
        </w:tc>
        <w:tc>
          <w:tcPr>
            <w:tcW w:w="2413" w:type="dxa"/>
            <w:vAlign w:val="center"/>
          </w:tcPr>
          <w:p>
            <w:pPr>
              <w:snapToGrid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数据库管理系统实验</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031011</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运筹学</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031016</w:t>
            </w:r>
          </w:p>
        </w:tc>
        <w:tc>
          <w:tcPr>
            <w:tcW w:w="2413"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试验设计</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031012</w:t>
            </w:r>
          </w:p>
        </w:tc>
        <w:tc>
          <w:tcPr>
            <w:tcW w:w="2413" w:type="dxa"/>
            <w:vAlign w:val="center"/>
          </w:tcPr>
          <w:p>
            <w:pPr>
              <w:snapToGrid w:val="0"/>
              <w:ind w:firstLine="5"/>
              <w:rPr>
                <w:rFonts w:hint="eastAsia" w:ascii="宋体" w:hAnsi="宋体" w:eastAsia="宋体" w:cs="宋体"/>
                <w:color w:val="auto"/>
                <w:sz w:val="18"/>
                <w:szCs w:val="18"/>
              </w:rPr>
            </w:pPr>
            <w:r>
              <w:rPr>
                <w:rFonts w:hint="eastAsia" w:ascii="宋体" w:hAnsi="宋体" w:eastAsia="宋体" w:cs="宋体"/>
                <w:color w:val="auto"/>
                <w:sz w:val="18"/>
                <w:szCs w:val="18"/>
              </w:rPr>
              <w:t>非参数统计</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考</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031012sy</w:t>
            </w:r>
          </w:p>
        </w:tc>
        <w:tc>
          <w:tcPr>
            <w:tcW w:w="2413" w:type="dxa"/>
            <w:vAlign w:val="center"/>
          </w:tcPr>
          <w:p>
            <w:pPr>
              <w:snapToGrid w:val="0"/>
              <w:ind w:firstLine="5" w:firstLineChars="0"/>
              <w:rPr>
                <w:rFonts w:hint="eastAsia" w:ascii="宋体" w:hAnsi="宋体" w:eastAsia="宋体" w:cs="宋体"/>
                <w:color w:val="auto"/>
                <w:sz w:val="18"/>
                <w:szCs w:val="18"/>
              </w:rPr>
            </w:pPr>
            <w:r>
              <w:rPr>
                <w:rFonts w:hint="eastAsia" w:ascii="宋体" w:hAnsi="宋体" w:eastAsia="宋体" w:cs="宋体"/>
                <w:color w:val="auto"/>
                <w:sz w:val="18"/>
                <w:szCs w:val="18"/>
              </w:rPr>
              <w:t>非参数统计实验</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031017</w:t>
            </w:r>
          </w:p>
        </w:tc>
        <w:tc>
          <w:tcPr>
            <w:tcW w:w="2413" w:type="dxa"/>
            <w:vAlign w:val="center"/>
          </w:tcPr>
          <w:p>
            <w:pPr>
              <w:snapToGrid w:val="0"/>
              <w:ind w:firstLine="5"/>
              <w:rPr>
                <w:rFonts w:hint="eastAsia" w:ascii="宋体" w:hAnsi="宋体" w:eastAsia="宋体" w:cs="宋体"/>
                <w:color w:val="auto"/>
                <w:sz w:val="18"/>
                <w:szCs w:val="18"/>
              </w:rPr>
            </w:pPr>
            <w:r>
              <w:rPr>
                <w:rFonts w:hint="eastAsia" w:ascii="宋体" w:hAnsi="宋体" w:eastAsia="宋体" w:cs="宋体"/>
                <w:color w:val="auto"/>
                <w:sz w:val="18"/>
                <w:szCs w:val="18"/>
              </w:rPr>
              <w:t>数据挖掘</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031017sy</w:t>
            </w:r>
          </w:p>
        </w:tc>
        <w:tc>
          <w:tcPr>
            <w:tcW w:w="2413" w:type="dxa"/>
            <w:vAlign w:val="center"/>
          </w:tcPr>
          <w:p>
            <w:pPr>
              <w:snapToGrid w:val="0"/>
              <w:ind w:firstLine="5" w:firstLineChars="0"/>
              <w:rPr>
                <w:rFonts w:hint="eastAsia" w:ascii="宋体" w:hAnsi="宋体" w:eastAsia="宋体" w:cs="宋体"/>
                <w:color w:val="auto"/>
                <w:kern w:val="0"/>
                <w:sz w:val="18"/>
                <w:szCs w:val="18"/>
              </w:rPr>
            </w:pPr>
            <w:r>
              <w:rPr>
                <w:rFonts w:hint="eastAsia" w:ascii="宋体" w:hAnsi="宋体" w:eastAsia="宋体" w:cs="宋体"/>
                <w:color w:val="auto"/>
                <w:sz w:val="18"/>
                <w:szCs w:val="18"/>
              </w:rPr>
              <w:t>数据挖掘实验</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550" w:type="dxa"/>
            <w:tcMar>
              <w:top w:w="57" w:type="dxa"/>
              <w:left w:w="28" w:type="dxa"/>
              <w:bottom w:w="57" w:type="dxa"/>
              <w:right w:w="28" w:type="dxa"/>
            </w:tcMar>
            <w:vAlign w:val="center"/>
          </w:tcPr>
          <w:p>
            <w:pPr>
              <w:jc w:val="center"/>
              <w:rPr>
                <w:rFonts w:hint="eastAsia" w:ascii="宋体" w:hAnsi="宋体" w:eastAsia="宋体" w:cs="宋体"/>
                <w:color w:val="auto"/>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15</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小 计</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27</w:t>
            </w:r>
          </w:p>
        </w:tc>
        <w:tc>
          <w:tcPr>
            <w:tcW w:w="549" w:type="dxa"/>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53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504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459</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4</w:t>
            </w:r>
            <w:r>
              <w:rPr>
                <w:rFonts w:hint="eastAsia" w:ascii="宋体" w:hAnsi="宋体" w:eastAsia="宋体" w:cs="宋体"/>
                <w:color w:val="auto"/>
                <w:sz w:val="18"/>
                <w:szCs w:val="18"/>
              </w:rPr>
              <w:t>5</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6</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bl>
    <w:p>
      <w:pPr>
        <w:autoSpaceDE w:val="0"/>
        <w:autoSpaceDN w:val="0"/>
        <w:adjustRightInd w:val="0"/>
        <w:spacing w:line="360" w:lineRule="auto"/>
        <w:rPr>
          <w:rFonts w:ascii="黑体" w:eastAsia="黑体"/>
          <w:bCs/>
          <w:color w:val="auto"/>
          <w:sz w:val="24"/>
        </w:rPr>
      </w:pPr>
      <w:r>
        <w:rPr>
          <w:rFonts w:hint="eastAsia" w:ascii="黑体" w:eastAsia="黑体"/>
          <w:bCs/>
          <w:color w:val="auto"/>
          <w:sz w:val="24"/>
        </w:rPr>
        <w:t>（四）集中</w:t>
      </w:r>
      <w:r>
        <w:rPr>
          <w:rFonts w:ascii="黑体" w:eastAsia="黑体"/>
          <w:bCs/>
          <w:color w:val="auto"/>
          <w:sz w:val="24"/>
        </w:rPr>
        <w:t>实践</w:t>
      </w:r>
      <w:r>
        <w:rPr>
          <w:rFonts w:hint="eastAsia" w:ascii="黑体" w:eastAsia="黑体"/>
          <w:bCs/>
          <w:color w:val="auto"/>
          <w:sz w:val="24"/>
        </w:rPr>
        <w:t>课程（共修读11学分）</w:t>
      </w:r>
    </w:p>
    <w:tbl>
      <w:tblPr>
        <w:tblStyle w:val="21"/>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402"/>
        <w:gridCol w:w="708"/>
        <w:gridCol w:w="709"/>
        <w:gridCol w:w="673"/>
        <w:gridCol w:w="391"/>
        <w:gridCol w:w="391"/>
        <w:gridCol w:w="391"/>
        <w:gridCol w:w="391"/>
        <w:gridCol w:w="391"/>
        <w:gridCol w:w="391"/>
        <w:gridCol w:w="394"/>
        <w:gridCol w:w="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课程编号</w:t>
            </w:r>
          </w:p>
        </w:tc>
        <w:tc>
          <w:tcPr>
            <w:tcW w:w="3402" w:type="dxa"/>
            <w:vMerge w:val="restart"/>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课程名称</w:t>
            </w:r>
          </w:p>
        </w:tc>
        <w:tc>
          <w:tcPr>
            <w:tcW w:w="708" w:type="dxa"/>
            <w:vMerge w:val="restart"/>
            <w:tcMar>
              <w:top w:w="57" w:type="dxa"/>
              <w:left w:w="57" w:type="dxa"/>
              <w:bottom w:w="57" w:type="dxa"/>
              <w:right w:w="57" w:type="dxa"/>
            </w:tcMar>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学分</w:t>
            </w:r>
          </w:p>
        </w:tc>
        <w:tc>
          <w:tcPr>
            <w:tcW w:w="709" w:type="dxa"/>
            <w:vMerge w:val="restart"/>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学时</w:t>
            </w:r>
          </w:p>
        </w:tc>
        <w:tc>
          <w:tcPr>
            <w:tcW w:w="673" w:type="dxa"/>
            <w:vMerge w:val="restart"/>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考核</w:t>
            </w:r>
          </w:p>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类型</w:t>
            </w:r>
          </w:p>
        </w:tc>
        <w:tc>
          <w:tcPr>
            <w:tcW w:w="3131" w:type="dxa"/>
            <w:gridSpan w:val="8"/>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集中实践教学周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tcMar>
              <w:top w:w="57" w:type="dxa"/>
              <w:left w:w="28" w:type="dxa"/>
              <w:bottom w:w="57" w:type="dxa"/>
              <w:right w:w="28" w:type="dxa"/>
            </w:tcMar>
            <w:vAlign w:val="center"/>
          </w:tcPr>
          <w:p>
            <w:pPr>
              <w:widowControl/>
              <w:snapToGrid w:val="0"/>
              <w:ind w:left="-105" w:leftChars="-50" w:right="-105" w:rightChars="-50"/>
              <w:jc w:val="left"/>
              <w:rPr>
                <w:rFonts w:hint="eastAsia" w:ascii="宋体" w:hAnsi="宋体" w:eastAsia="宋体" w:cs="宋体"/>
                <w:color w:val="auto"/>
                <w:sz w:val="18"/>
                <w:szCs w:val="18"/>
              </w:rPr>
            </w:pPr>
          </w:p>
        </w:tc>
        <w:tc>
          <w:tcPr>
            <w:tcW w:w="3402" w:type="dxa"/>
            <w:vMerge w:val="continue"/>
            <w:vAlign w:val="center"/>
          </w:tcPr>
          <w:p>
            <w:pPr>
              <w:widowControl/>
              <w:snapToGrid w:val="0"/>
              <w:jc w:val="left"/>
              <w:rPr>
                <w:rFonts w:hint="eastAsia" w:ascii="宋体" w:hAnsi="宋体" w:eastAsia="宋体" w:cs="宋体"/>
                <w:color w:val="auto"/>
                <w:sz w:val="18"/>
                <w:szCs w:val="18"/>
              </w:rPr>
            </w:pPr>
          </w:p>
        </w:tc>
        <w:tc>
          <w:tcPr>
            <w:tcW w:w="708" w:type="dxa"/>
            <w:vMerge w:val="continue"/>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color w:val="auto"/>
                <w:sz w:val="18"/>
                <w:szCs w:val="18"/>
              </w:rPr>
            </w:pPr>
          </w:p>
        </w:tc>
        <w:tc>
          <w:tcPr>
            <w:tcW w:w="709" w:type="dxa"/>
            <w:vMerge w:val="continue"/>
            <w:tcMar>
              <w:top w:w="57" w:type="dxa"/>
              <w:bottom w:w="57" w:type="dxa"/>
            </w:tcMar>
            <w:vAlign w:val="center"/>
          </w:tcPr>
          <w:p>
            <w:pPr>
              <w:snapToGrid w:val="0"/>
              <w:ind w:left="-105" w:leftChars="-50" w:right="-105" w:rightChars="-50"/>
              <w:jc w:val="center"/>
              <w:rPr>
                <w:rFonts w:hint="eastAsia" w:ascii="宋体" w:hAnsi="宋体" w:eastAsia="宋体" w:cs="宋体"/>
                <w:color w:val="auto"/>
                <w:sz w:val="18"/>
                <w:szCs w:val="18"/>
              </w:rPr>
            </w:pPr>
          </w:p>
        </w:tc>
        <w:tc>
          <w:tcPr>
            <w:tcW w:w="673" w:type="dxa"/>
            <w:vMerge w:val="continue"/>
            <w:vAlign w:val="center"/>
          </w:tcPr>
          <w:p>
            <w:pPr>
              <w:snapToGrid w:val="0"/>
              <w:ind w:left="-105" w:leftChars="-50" w:right="-105" w:rightChars="-50"/>
              <w:jc w:val="center"/>
              <w:rPr>
                <w:rFonts w:hint="eastAsia" w:ascii="宋体" w:hAnsi="宋体" w:eastAsia="宋体" w:cs="宋体"/>
                <w:color w:val="auto"/>
                <w:sz w:val="18"/>
                <w:szCs w:val="18"/>
              </w:rPr>
            </w:pPr>
          </w:p>
        </w:tc>
        <w:tc>
          <w:tcPr>
            <w:tcW w:w="391"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一</w:t>
            </w:r>
          </w:p>
        </w:tc>
        <w:tc>
          <w:tcPr>
            <w:tcW w:w="391"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二</w:t>
            </w:r>
          </w:p>
        </w:tc>
        <w:tc>
          <w:tcPr>
            <w:tcW w:w="391"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三</w:t>
            </w:r>
          </w:p>
        </w:tc>
        <w:tc>
          <w:tcPr>
            <w:tcW w:w="391"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四</w:t>
            </w:r>
          </w:p>
        </w:tc>
        <w:tc>
          <w:tcPr>
            <w:tcW w:w="391"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五</w:t>
            </w:r>
          </w:p>
        </w:tc>
        <w:tc>
          <w:tcPr>
            <w:tcW w:w="391"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六</w:t>
            </w:r>
          </w:p>
        </w:tc>
        <w:tc>
          <w:tcPr>
            <w:tcW w:w="394" w:type="dxa"/>
            <w:vAlign w:val="center"/>
          </w:tcPr>
          <w:p>
            <w:pPr>
              <w:snapToGrid w:val="0"/>
              <w:ind w:left="-105" w:leftChars="-50" w:right="-105" w:rightChars="-50" w:firstLine="1"/>
              <w:jc w:val="center"/>
              <w:rPr>
                <w:rFonts w:hint="eastAsia" w:ascii="宋体" w:hAnsi="宋体" w:eastAsia="宋体" w:cs="宋体"/>
                <w:color w:val="auto"/>
                <w:sz w:val="18"/>
                <w:szCs w:val="18"/>
              </w:rPr>
            </w:pPr>
            <w:r>
              <w:rPr>
                <w:rFonts w:hint="eastAsia" w:ascii="宋体" w:hAnsi="宋体" w:eastAsia="宋体" w:cs="宋体"/>
                <w:color w:val="auto"/>
                <w:sz w:val="18"/>
                <w:szCs w:val="18"/>
              </w:rPr>
              <w:t>七</w:t>
            </w:r>
          </w:p>
        </w:tc>
        <w:tc>
          <w:tcPr>
            <w:tcW w:w="391"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restart"/>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第二课堂</w:t>
            </w:r>
          </w:p>
        </w:tc>
        <w:tc>
          <w:tcPr>
            <w:tcW w:w="3402" w:type="dxa"/>
            <w:vAlign w:val="center"/>
          </w:tcPr>
          <w:p>
            <w:pPr>
              <w:snapToGrid w:val="0"/>
              <w:jc w:val="left"/>
              <w:rPr>
                <w:rFonts w:hint="eastAsia" w:ascii="宋体" w:hAnsi="宋体" w:eastAsia="宋体" w:cs="宋体"/>
                <w:color w:val="auto"/>
                <w:sz w:val="18"/>
                <w:szCs w:val="18"/>
              </w:rPr>
            </w:pPr>
            <w:r>
              <w:rPr>
                <w:rFonts w:hint="eastAsia" w:ascii="宋体" w:hAnsi="宋体" w:eastAsia="宋体" w:cs="宋体"/>
                <w:color w:val="auto"/>
                <w:sz w:val="18"/>
                <w:szCs w:val="18"/>
              </w:rPr>
              <w:t>通识教育讲座</w:t>
            </w:r>
          </w:p>
        </w:tc>
        <w:tc>
          <w:tcPr>
            <w:tcW w:w="708" w:type="dxa"/>
            <w:vMerge w:val="restart"/>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6</w:t>
            </w:r>
          </w:p>
        </w:tc>
        <w:tc>
          <w:tcPr>
            <w:tcW w:w="709" w:type="dxa"/>
            <w:tcMar>
              <w:top w:w="57" w:type="dxa"/>
              <w:left w:w="28" w:type="dxa"/>
              <w:bottom w:w="57" w:type="dxa"/>
              <w:right w:w="28" w:type="dxa"/>
            </w:tcMar>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1周</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vAlign w:val="center"/>
          </w:tcPr>
          <w:p>
            <w:pPr>
              <w:snapToGrid w:val="0"/>
              <w:ind w:left="-105" w:leftChars="-50" w:right="-105" w:rightChars="-50" w:firstLine="6"/>
              <w:jc w:val="center"/>
              <w:rPr>
                <w:rFonts w:hint="eastAsia" w:ascii="宋体" w:hAnsi="宋体" w:eastAsia="宋体" w:cs="宋体"/>
                <w:color w:val="auto"/>
                <w:sz w:val="18"/>
                <w:szCs w:val="18"/>
              </w:rPr>
            </w:pPr>
          </w:p>
        </w:tc>
        <w:tc>
          <w:tcPr>
            <w:tcW w:w="3402" w:type="dxa"/>
            <w:vAlign w:val="center"/>
          </w:tcPr>
          <w:p>
            <w:pPr>
              <w:snapToGrid w:val="0"/>
              <w:jc w:val="left"/>
              <w:rPr>
                <w:rFonts w:hint="eastAsia" w:ascii="宋体" w:hAnsi="宋体" w:eastAsia="宋体" w:cs="宋体"/>
                <w:color w:val="auto"/>
                <w:sz w:val="18"/>
                <w:szCs w:val="18"/>
              </w:rPr>
            </w:pPr>
            <w:r>
              <w:rPr>
                <w:rFonts w:hint="eastAsia" w:ascii="宋体" w:hAnsi="宋体" w:eastAsia="宋体" w:cs="宋体"/>
                <w:color w:val="auto"/>
                <w:sz w:val="18"/>
                <w:szCs w:val="18"/>
              </w:rPr>
              <w:t>就业创业训练</w:t>
            </w:r>
          </w:p>
        </w:tc>
        <w:tc>
          <w:tcPr>
            <w:tcW w:w="708" w:type="dxa"/>
            <w:vMerge w:val="continue"/>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709"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1周</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vAlign w:val="center"/>
          </w:tcPr>
          <w:p>
            <w:pPr>
              <w:snapToGrid w:val="0"/>
              <w:ind w:left="-105" w:leftChars="-50" w:right="-105" w:rightChars="-50" w:firstLine="6"/>
              <w:jc w:val="center"/>
              <w:rPr>
                <w:rFonts w:hint="eastAsia" w:ascii="宋体" w:hAnsi="宋体" w:eastAsia="宋体" w:cs="宋体"/>
                <w:color w:val="auto"/>
                <w:sz w:val="18"/>
                <w:szCs w:val="18"/>
              </w:rPr>
            </w:pPr>
          </w:p>
        </w:tc>
        <w:tc>
          <w:tcPr>
            <w:tcW w:w="3402"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sz w:val="18"/>
                <w:szCs w:val="18"/>
              </w:rPr>
              <w:t>校外社会实践</w:t>
            </w:r>
          </w:p>
        </w:tc>
        <w:tc>
          <w:tcPr>
            <w:tcW w:w="708" w:type="dxa"/>
            <w:vMerge w:val="continue"/>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709"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1周</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Merge w:val="continue"/>
            <w:vAlign w:val="center"/>
          </w:tcPr>
          <w:p>
            <w:pPr>
              <w:snapToGrid w:val="0"/>
              <w:ind w:left="-105" w:leftChars="-50" w:right="-105" w:rightChars="-50" w:firstLine="6"/>
              <w:jc w:val="center"/>
              <w:rPr>
                <w:rFonts w:hint="eastAsia" w:ascii="宋体" w:hAnsi="宋体" w:eastAsia="宋体" w:cs="宋体"/>
                <w:color w:val="auto"/>
                <w:sz w:val="18"/>
                <w:szCs w:val="18"/>
              </w:rPr>
            </w:pPr>
          </w:p>
        </w:tc>
        <w:tc>
          <w:tcPr>
            <w:tcW w:w="3402"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sz w:val="18"/>
                <w:szCs w:val="18"/>
              </w:rPr>
              <w:t>其他活动</w:t>
            </w:r>
          </w:p>
        </w:tc>
        <w:tc>
          <w:tcPr>
            <w:tcW w:w="708" w:type="dxa"/>
            <w:vMerge w:val="continue"/>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709"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33S001</w:t>
            </w:r>
          </w:p>
        </w:tc>
        <w:tc>
          <w:tcPr>
            <w:tcW w:w="3402" w:type="dxa"/>
            <w:vAlign w:val="center"/>
          </w:tcPr>
          <w:p>
            <w:pPr>
              <w:snapToGrid w:val="0"/>
              <w:jc w:val="left"/>
              <w:rPr>
                <w:rFonts w:hint="eastAsia" w:ascii="宋体" w:hAnsi="宋体" w:eastAsia="宋体" w:cs="宋体"/>
                <w:color w:val="auto"/>
                <w:sz w:val="18"/>
                <w:szCs w:val="18"/>
              </w:rPr>
            </w:pPr>
            <w:r>
              <w:rPr>
                <w:rFonts w:hint="eastAsia" w:ascii="宋体" w:hAnsi="宋体" w:eastAsia="宋体" w:cs="宋体"/>
                <w:color w:val="auto"/>
                <w:sz w:val="18"/>
                <w:szCs w:val="18"/>
              </w:rPr>
              <w:t>体育健康教育</w:t>
            </w:r>
          </w:p>
        </w:tc>
        <w:tc>
          <w:tcPr>
            <w:tcW w:w="70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709" w:type="dxa"/>
            <w:tcMar>
              <w:top w:w="57" w:type="dxa"/>
              <w:left w:w="28" w:type="dxa"/>
              <w:bottom w:w="57" w:type="dxa"/>
              <w:right w:w="28" w:type="dxa"/>
            </w:tcMar>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31S002</w:t>
            </w:r>
          </w:p>
        </w:tc>
        <w:tc>
          <w:tcPr>
            <w:tcW w:w="3402" w:type="dxa"/>
            <w:vAlign w:val="center"/>
          </w:tcPr>
          <w:p>
            <w:pPr>
              <w:snapToGrid w:val="0"/>
              <w:jc w:val="left"/>
              <w:rPr>
                <w:rFonts w:hint="eastAsia" w:ascii="宋体" w:hAnsi="宋体" w:eastAsia="宋体" w:cs="宋体"/>
                <w:color w:val="auto"/>
                <w:sz w:val="18"/>
                <w:szCs w:val="18"/>
              </w:rPr>
            </w:pPr>
            <w:r>
              <w:rPr>
                <w:rFonts w:hint="eastAsia" w:ascii="宋体" w:hAnsi="宋体" w:eastAsia="宋体" w:cs="宋体"/>
                <w:color w:val="auto"/>
                <w:sz w:val="18"/>
                <w:szCs w:val="18"/>
              </w:rPr>
              <w:t>思想政治课社会实践</w:t>
            </w:r>
          </w:p>
        </w:tc>
        <w:tc>
          <w:tcPr>
            <w:tcW w:w="708" w:type="dxa"/>
            <w:tcMar>
              <w:left w:w="0" w:type="dxa"/>
              <w:right w:w="0" w:type="dxa"/>
            </w:tcMar>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709" w:type="dxa"/>
            <w:tcMar>
              <w:top w:w="57" w:type="dxa"/>
              <w:left w:w="28" w:type="dxa"/>
              <w:bottom w:w="57" w:type="dxa"/>
              <w:right w:w="28" w:type="dxa"/>
            </w:tcMar>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105" w:leftChars="-50" w:right="-105" w:rightChars="-50" w:firstLine="6"/>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032008</w:t>
            </w:r>
          </w:p>
        </w:tc>
        <w:tc>
          <w:tcPr>
            <w:tcW w:w="3402"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kern w:val="0"/>
                <w:sz w:val="18"/>
                <w:szCs w:val="18"/>
              </w:rPr>
              <w:t>现代调查技术</w:t>
            </w:r>
          </w:p>
        </w:tc>
        <w:tc>
          <w:tcPr>
            <w:tcW w:w="70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709"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b/>
                <w:color w:val="auto"/>
                <w:sz w:val="18"/>
                <w:szCs w:val="18"/>
              </w:rPr>
            </w:pPr>
            <w:r>
              <w:rPr>
                <w:rFonts w:hint="eastAsia" w:ascii="宋体" w:hAnsi="宋体" w:eastAsia="宋体" w:cs="宋体"/>
                <w:color w:val="auto"/>
                <w:sz w:val="18"/>
                <w:szCs w:val="18"/>
              </w:rPr>
              <w:t>1周</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030037</w:t>
            </w:r>
          </w:p>
        </w:tc>
        <w:tc>
          <w:tcPr>
            <w:tcW w:w="3402"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sz w:val="18"/>
                <w:szCs w:val="18"/>
              </w:rPr>
              <w:t>学年论文</w:t>
            </w:r>
          </w:p>
        </w:tc>
        <w:tc>
          <w:tcPr>
            <w:tcW w:w="70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709"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1周</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031015</w:t>
            </w:r>
          </w:p>
        </w:tc>
        <w:tc>
          <w:tcPr>
            <w:tcW w:w="3402" w:type="dxa"/>
            <w:vAlign w:val="center"/>
          </w:tcPr>
          <w:p>
            <w:pPr>
              <w:snapToGrid w:val="0"/>
              <w:rPr>
                <w:rFonts w:hint="eastAsia" w:ascii="宋体" w:hAnsi="宋体" w:eastAsia="宋体" w:cs="宋体"/>
                <w:color w:val="auto"/>
                <w:sz w:val="18"/>
                <w:szCs w:val="18"/>
              </w:rPr>
            </w:pPr>
            <w:r>
              <w:rPr>
                <w:rFonts w:hint="eastAsia" w:ascii="宋体" w:hAnsi="宋体" w:eastAsia="宋体" w:cs="宋体"/>
                <w:color w:val="auto"/>
                <w:sz w:val="18"/>
                <w:szCs w:val="18"/>
              </w:rPr>
              <w:t>统计学专题</w:t>
            </w:r>
          </w:p>
        </w:tc>
        <w:tc>
          <w:tcPr>
            <w:tcW w:w="708"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709"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17</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390"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708"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11</w:t>
            </w:r>
          </w:p>
        </w:tc>
        <w:tc>
          <w:tcPr>
            <w:tcW w:w="709"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59/5周</w:t>
            </w:r>
          </w:p>
        </w:tc>
        <w:tc>
          <w:tcPr>
            <w:tcW w:w="673"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4"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w:t>
            </w:r>
          </w:p>
        </w:tc>
        <w:tc>
          <w:tcPr>
            <w:tcW w:w="391"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bl>
    <w:p>
      <w:pPr>
        <w:autoSpaceDE w:val="0"/>
        <w:autoSpaceDN w:val="0"/>
        <w:adjustRightInd w:val="0"/>
        <w:rPr>
          <w:rFonts w:ascii="宋体" w:hAnsi="宋体"/>
          <w:bCs/>
          <w:sz w:val="24"/>
          <w:szCs w:val="21"/>
        </w:rPr>
      </w:pPr>
    </w:p>
    <w:sectPr>
      <w:footerReference r:id="rId4" w:type="default"/>
      <w:footerReference r:id="rId5" w:type="even"/>
      <w:pgSz w:w="11906" w:h="16838"/>
      <w:pgMar w:top="1134" w:right="851" w:bottom="1134" w:left="1418" w:header="851" w:footer="794" w:gutter="0"/>
      <w:paperSrc w:first="0" w:oth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auto"/>
    <w:pitch w:val="default"/>
    <w:sig w:usb0="00000001" w:usb1="080E0000" w:usb2="00000010" w:usb3="00000000" w:csb0="00040000" w:csb1="00000000"/>
  </w:font>
  <w:font w:name="楷体_GB2312">
    <w:altName w:val="楷体"/>
    <w:panose1 w:val="00000000000000000000"/>
    <w:charset w:val="86"/>
    <w:family w:val="auto"/>
    <w:pitch w:val="default"/>
    <w:sig w:usb0="00000001" w:usb1="080E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pPr>
    <w:r>
      <w:fldChar w:fldCharType="begin"/>
    </w:r>
    <w:r>
      <w:instrText xml:space="preserve">PAGE   \* MERGEFORMAT</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framePr w:wrap="around" w:vAnchor="text" w:hAnchor="margin" w:xAlign="outside" w:y="1"/>
      <w:rPr>
        <w:rStyle w:val="16"/>
      </w:rPr>
    </w:pPr>
    <w:r>
      <w:rPr>
        <w:rStyle w:val="16"/>
      </w:rPr>
      <w:fldChar w:fldCharType="begin"/>
    </w:r>
    <w:r>
      <w:rPr>
        <w:rStyle w:val="16"/>
      </w:rPr>
      <w:instrText xml:space="preserve">PAGE  </w:instrText>
    </w:r>
    <w:r>
      <w:rPr>
        <w:rStyle w:val="16"/>
      </w:rPr>
      <w:fldChar w:fldCharType="separate"/>
    </w:r>
    <w:r>
      <w:rPr>
        <w:rStyle w:val="16"/>
      </w:rPr>
      <w:t>2</w:t>
    </w:r>
    <w:r>
      <w:rPr>
        <w:rStyle w:val="16"/>
      </w:rPr>
      <w:fldChar w:fldCharType="end"/>
    </w:r>
  </w:p>
  <w:p>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71197123">
    <w:nsid w:val="3FD92BC3"/>
    <w:multiLevelType w:val="multilevel"/>
    <w:tmpl w:val="3FD92BC3"/>
    <w:lvl w:ilvl="0" w:tentative="1">
      <w:start w:val="1"/>
      <w:numFmt w:val="japaneseCounting"/>
      <w:lvlText w:val="%1、"/>
      <w:lvlJc w:val="left"/>
      <w:pPr>
        <w:tabs>
          <w:tab w:val="left" w:pos="420"/>
        </w:tabs>
        <w:ind w:left="420" w:hanging="420"/>
      </w:pPr>
      <w:rPr>
        <w:rFonts w:hint="default"/>
      </w:rPr>
    </w:lvl>
    <w:lvl w:ilvl="1" w:tentative="1">
      <w:start w:val="1"/>
      <w:numFmt w:val="decimal"/>
      <w:pStyle w:val="53"/>
      <w:lvlText w:val="%2、"/>
      <w:lvlJc w:val="left"/>
      <w:pPr>
        <w:tabs>
          <w:tab w:val="left" w:pos="780"/>
        </w:tabs>
        <w:ind w:left="780" w:hanging="360"/>
      </w:pPr>
      <w:rPr>
        <w:rFonts w:hint="default"/>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071197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91B71"/>
    <w:rsid w:val="0000226D"/>
    <w:rsid w:val="00011160"/>
    <w:rsid w:val="00013819"/>
    <w:rsid w:val="000141C4"/>
    <w:rsid w:val="00014216"/>
    <w:rsid w:val="0002578B"/>
    <w:rsid w:val="00026A59"/>
    <w:rsid w:val="0003136C"/>
    <w:rsid w:val="00037218"/>
    <w:rsid w:val="000543BD"/>
    <w:rsid w:val="00055C48"/>
    <w:rsid w:val="00057348"/>
    <w:rsid w:val="00063025"/>
    <w:rsid w:val="00073323"/>
    <w:rsid w:val="000A095F"/>
    <w:rsid w:val="000A2A4F"/>
    <w:rsid w:val="000A55BA"/>
    <w:rsid w:val="000B5BBD"/>
    <w:rsid w:val="000D076B"/>
    <w:rsid w:val="000D1B28"/>
    <w:rsid w:val="000E327D"/>
    <w:rsid w:val="00126515"/>
    <w:rsid w:val="0013428A"/>
    <w:rsid w:val="00145AD7"/>
    <w:rsid w:val="00146450"/>
    <w:rsid w:val="00163A6A"/>
    <w:rsid w:val="00190B3F"/>
    <w:rsid w:val="00193E26"/>
    <w:rsid w:val="001A48CF"/>
    <w:rsid w:val="001C1310"/>
    <w:rsid w:val="001C1448"/>
    <w:rsid w:val="001C3648"/>
    <w:rsid w:val="001D2B48"/>
    <w:rsid w:val="001D5F5E"/>
    <w:rsid w:val="001E1DFF"/>
    <w:rsid w:val="001F67EA"/>
    <w:rsid w:val="002004BA"/>
    <w:rsid w:val="002006A7"/>
    <w:rsid w:val="0022569E"/>
    <w:rsid w:val="00227F00"/>
    <w:rsid w:val="00234A2C"/>
    <w:rsid w:val="00241ABE"/>
    <w:rsid w:val="00271593"/>
    <w:rsid w:val="0028128F"/>
    <w:rsid w:val="00283002"/>
    <w:rsid w:val="00283268"/>
    <w:rsid w:val="00284013"/>
    <w:rsid w:val="00296AA9"/>
    <w:rsid w:val="002A44A1"/>
    <w:rsid w:val="002B5422"/>
    <w:rsid w:val="002C479A"/>
    <w:rsid w:val="002C5049"/>
    <w:rsid w:val="002D1DF2"/>
    <w:rsid w:val="002D2E37"/>
    <w:rsid w:val="002D32FF"/>
    <w:rsid w:val="002F3FA1"/>
    <w:rsid w:val="002F7DD5"/>
    <w:rsid w:val="003027C8"/>
    <w:rsid w:val="003028BB"/>
    <w:rsid w:val="00306176"/>
    <w:rsid w:val="00317C56"/>
    <w:rsid w:val="00343306"/>
    <w:rsid w:val="00347066"/>
    <w:rsid w:val="003A2ACD"/>
    <w:rsid w:val="003A3D05"/>
    <w:rsid w:val="003A4376"/>
    <w:rsid w:val="003C2A4F"/>
    <w:rsid w:val="003C2D62"/>
    <w:rsid w:val="003C7FB1"/>
    <w:rsid w:val="003D07A7"/>
    <w:rsid w:val="003D11D9"/>
    <w:rsid w:val="003D77BD"/>
    <w:rsid w:val="003E4CC5"/>
    <w:rsid w:val="00403BFB"/>
    <w:rsid w:val="0040722A"/>
    <w:rsid w:val="0041596F"/>
    <w:rsid w:val="004178CB"/>
    <w:rsid w:val="0042339D"/>
    <w:rsid w:val="00434D6C"/>
    <w:rsid w:val="00470111"/>
    <w:rsid w:val="0047126B"/>
    <w:rsid w:val="00486AD3"/>
    <w:rsid w:val="00490CD3"/>
    <w:rsid w:val="004938AE"/>
    <w:rsid w:val="004B408F"/>
    <w:rsid w:val="004B78AB"/>
    <w:rsid w:val="004C3596"/>
    <w:rsid w:val="004F22AC"/>
    <w:rsid w:val="00521109"/>
    <w:rsid w:val="005218E0"/>
    <w:rsid w:val="00530193"/>
    <w:rsid w:val="005321FC"/>
    <w:rsid w:val="0053412D"/>
    <w:rsid w:val="00535983"/>
    <w:rsid w:val="005367A5"/>
    <w:rsid w:val="0055330F"/>
    <w:rsid w:val="005579FD"/>
    <w:rsid w:val="00561276"/>
    <w:rsid w:val="005C3267"/>
    <w:rsid w:val="005D0336"/>
    <w:rsid w:val="005D2DE8"/>
    <w:rsid w:val="005E1A17"/>
    <w:rsid w:val="005E3295"/>
    <w:rsid w:val="005F5D23"/>
    <w:rsid w:val="00605EBB"/>
    <w:rsid w:val="00613BCE"/>
    <w:rsid w:val="0061666A"/>
    <w:rsid w:val="00616E5A"/>
    <w:rsid w:val="00631827"/>
    <w:rsid w:val="00635D7D"/>
    <w:rsid w:val="00640D0C"/>
    <w:rsid w:val="00642283"/>
    <w:rsid w:val="0066122C"/>
    <w:rsid w:val="00673994"/>
    <w:rsid w:val="00673A68"/>
    <w:rsid w:val="006774BE"/>
    <w:rsid w:val="00681ABA"/>
    <w:rsid w:val="00683F93"/>
    <w:rsid w:val="00687172"/>
    <w:rsid w:val="006A2C13"/>
    <w:rsid w:val="006D4AD6"/>
    <w:rsid w:val="006D4DF4"/>
    <w:rsid w:val="006E5413"/>
    <w:rsid w:val="007035D2"/>
    <w:rsid w:val="00712D62"/>
    <w:rsid w:val="00720336"/>
    <w:rsid w:val="00724B86"/>
    <w:rsid w:val="00765460"/>
    <w:rsid w:val="00765926"/>
    <w:rsid w:val="007726E5"/>
    <w:rsid w:val="00790D32"/>
    <w:rsid w:val="00790EEE"/>
    <w:rsid w:val="007966F7"/>
    <w:rsid w:val="007B6B75"/>
    <w:rsid w:val="007C3001"/>
    <w:rsid w:val="007C60BD"/>
    <w:rsid w:val="007C62A3"/>
    <w:rsid w:val="007E0746"/>
    <w:rsid w:val="007E77F5"/>
    <w:rsid w:val="007F078E"/>
    <w:rsid w:val="0080369E"/>
    <w:rsid w:val="0080653A"/>
    <w:rsid w:val="00840C55"/>
    <w:rsid w:val="00843308"/>
    <w:rsid w:val="008510E6"/>
    <w:rsid w:val="008512A0"/>
    <w:rsid w:val="00854EDE"/>
    <w:rsid w:val="0086033E"/>
    <w:rsid w:val="00865202"/>
    <w:rsid w:val="0087780E"/>
    <w:rsid w:val="008A228D"/>
    <w:rsid w:val="008B19A4"/>
    <w:rsid w:val="008B1D76"/>
    <w:rsid w:val="008B27B1"/>
    <w:rsid w:val="008B5463"/>
    <w:rsid w:val="008D3059"/>
    <w:rsid w:val="008E2A21"/>
    <w:rsid w:val="008E4829"/>
    <w:rsid w:val="008F1514"/>
    <w:rsid w:val="008F618D"/>
    <w:rsid w:val="008F7112"/>
    <w:rsid w:val="00907000"/>
    <w:rsid w:val="00916443"/>
    <w:rsid w:val="0092747A"/>
    <w:rsid w:val="00927BE8"/>
    <w:rsid w:val="00932433"/>
    <w:rsid w:val="009472A3"/>
    <w:rsid w:val="009568C0"/>
    <w:rsid w:val="00961572"/>
    <w:rsid w:val="009676AB"/>
    <w:rsid w:val="0097440E"/>
    <w:rsid w:val="00976CE5"/>
    <w:rsid w:val="00980A58"/>
    <w:rsid w:val="00985236"/>
    <w:rsid w:val="00991591"/>
    <w:rsid w:val="00993D98"/>
    <w:rsid w:val="009978CA"/>
    <w:rsid w:val="009B755F"/>
    <w:rsid w:val="009B75A0"/>
    <w:rsid w:val="009D24C0"/>
    <w:rsid w:val="009E2DE9"/>
    <w:rsid w:val="009E3D0F"/>
    <w:rsid w:val="009E5D16"/>
    <w:rsid w:val="009F387E"/>
    <w:rsid w:val="009F6695"/>
    <w:rsid w:val="00A07E6E"/>
    <w:rsid w:val="00A20CB3"/>
    <w:rsid w:val="00A217F6"/>
    <w:rsid w:val="00A307CF"/>
    <w:rsid w:val="00A4081C"/>
    <w:rsid w:val="00A422D0"/>
    <w:rsid w:val="00A475D1"/>
    <w:rsid w:val="00A47A23"/>
    <w:rsid w:val="00A515EC"/>
    <w:rsid w:val="00A740AE"/>
    <w:rsid w:val="00A803A0"/>
    <w:rsid w:val="00A82A70"/>
    <w:rsid w:val="00A91B71"/>
    <w:rsid w:val="00AC5EFA"/>
    <w:rsid w:val="00AD2A20"/>
    <w:rsid w:val="00AF2573"/>
    <w:rsid w:val="00B10FC7"/>
    <w:rsid w:val="00B23F2D"/>
    <w:rsid w:val="00B50B0A"/>
    <w:rsid w:val="00B52BB2"/>
    <w:rsid w:val="00B55C9F"/>
    <w:rsid w:val="00B73F21"/>
    <w:rsid w:val="00B74C9E"/>
    <w:rsid w:val="00B75A6E"/>
    <w:rsid w:val="00B7601C"/>
    <w:rsid w:val="00B901C3"/>
    <w:rsid w:val="00B902EC"/>
    <w:rsid w:val="00B95610"/>
    <w:rsid w:val="00B97202"/>
    <w:rsid w:val="00BA08BA"/>
    <w:rsid w:val="00BB214C"/>
    <w:rsid w:val="00BB58DC"/>
    <w:rsid w:val="00BC3FC4"/>
    <w:rsid w:val="00BD0906"/>
    <w:rsid w:val="00BE3249"/>
    <w:rsid w:val="00BE52C8"/>
    <w:rsid w:val="00BF0160"/>
    <w:rsid w:val="00C03328"/>
    <w:rsid w:val="00C13A10"/>
    <w:rsid w:val="00C1620F"/>
    <w:rsid w:val="00C171F6"/>
    <w:rsid w:val="00C17539"/>
    <w:rsid w:val="00C32620"/>
    <w:rsid w:val="00C3757B"/>
    <w:rsid w:val="00C50E6E"/>
    <w:rsid w:val="00C71445"/>
    <w:rsid w:val="00C748BA"/>
    <w:rsid w:val="00C83FAB"/>
    <w:rsid w:val="00C92A12"/>
    <w:rsid w:val="00C932D8"/>
    <w:rsid w:val="00C96CC9"/>
    <w:rsid w:val="00CA3FA0"/>
    <w:rsid w:val="00CB3EE2"/>
    <w:rsid w:val="00CB66C6"/>
    <w:rsid w:val="00CD3F04"/>
    <w:rsid w:val="00CD744F"/>
    <w:rsid w:val="00CE0FE9"/>
    <w:rsid w:val="00CF7400"/>
    <w:rsid w:val="00D04417"/>
    <w:rsid w:val="00D26E54"/>
    <w:rsid w:val="00D339CA"/>
    <w:rsid w:val="00D34BAC"/>
    <w:rsid w:val="00D42EF8"/>
    <w:rsid w:val="00D45BEC"/>
    <w:rsid w:val="00D7738B"/>
    <w:rsid w:val="00D81E72"/>
    <w:rsid w:val="00DA1E0D"/>
    <w:rsid w:val="00DA2266"/>
    <w:rsid w:val="00DA3ABD"/>
    <w:rsid w:val="00DB1668"/>
    <w:rsid w:val="00DB2FCE"/>
    <w:rsid w:val="00DC036E"/>
    <w:rsid w:val="00DC52BC"/>
    <w:rsid w:val="00DC6E12"/>
    <w:rsid w:val="00DE4561"/>
    <w:rsid w:val="00E1408D"/>
    <w:rsid w:val="00E34B5E"/>
    <w:rsid w:val="00E42549"/>
    <w:rsid w:val="00E4705E"/>
    <w:rsid w:val="00E4799A"/>
    <w:rsid w:val="00E5122E"/>
    <w:rsid w:val="00E5439F"/>
    <w:rsid w:val="00E862E5"/>
    <w:rsid w:val="00E90C1B"/>
    <w:rsid w:val="00EB3277"/>
    <w:rsid w:val="00EB3C9A"/>
    <w:rsid w:val="00EC039C"/>
    <w:rsid w:val="00EC2484"/>
    <w:rsid w:val="00ED2465"/>
    <w:rsid w:val="00ED5B45"/>
    <w:rsid w:val="00ED7B13"/>
    <w:rsid w:val="00EE27CC"/>
    <w:rsid w:val="00EE3F8F"/>
    <w:rsid w:val="00EF2E2C"/>
    <w:rsid w:val="00EF7C7A"/>
    <w:rsid w:val="00F009AF"/>
    <w:rsid w:val="00F16C97"/>
    <w:rsid w:val="00F172E6"/>
    <w:rsid w:val="00F34FCC"/>
    <w:rsid w:val="00F52036"/>
    <w:rsid w:val="00F5728D"/>
    <w:rsid w:val="00F67001"/>
    <w:rsid w:val="00F7191C"/>
    <w:rsid w:val="00F96E64"/>
    <w:rsid w:val="00FA411F"/>
    <w:rsid w:val="00FC57C1"/>
    <w:rsid w:val="00FD3804"/>
    <w:rsid w:val="00FD6225"/>
    <w:rsid w:val="00FF3AE1"/>
    <w:rsid w:val="00FF4147"/>
    <w:rsid w:val="00FF7C41"/>
    <w:rsid w:val="05072D78"/>
    <w:rsid w:val="110348F8"/>
    <w:rsid w:val="12C67A5C"/>
    <w:rsid w:val="31E75F72"/>
    <w:rsid w:val="379466BC"/>
    <w:rsid w:val="3A216CEA"/>
    <w:rsid w:val="413D3C14"/>
    <w:rsid w:val="4E543C88"/>
    <w:rsid w:val="51F15DFD"/>
    <w:rsid w:val="5CEB19FD"/>
    <w:rsid w:val="64F20D80"/>
    <w:rsid w:val="66DE1953"/>
    <w:rsid w:val="69852B2B"/>
    <w:rsid w:val="7266786F"/>
    <w:rsid w:val="72FD62A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nhideWhenUsed="0" w:uiPriority="0" w:name="annotation text"/>
    <w:lsdException w:unhideWhenUsed="0" w:uiPriority="0"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uiPriority="0" w:name="Body Text 3"/>
    <w:lsdException w:unhideWhenUsed="0" w:uiPriority="0" w:semiHidden="0" w:name="Body Text Indent 2"/>
    <w:lsdException w:unhideWhenUsed="0" w:uiPriority="0" w:semiHidden="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unhideWhenUsed/>
    <w:uiPriority w:val="1"/>
  </w:style>
  <w:style w:type="table" w:default="1" w:styleId="21">
    <w:name w:val="Normal Table"/>
    <w:unhideWhenUsed/>
    <w:uiPriority w:val="99"/>
    <w:tblPr>
      <w:tblStyle w:val="21"/>
      <w:tblLayout w:type="fixed"/>
      <w:tblCellMar>
        <w:top w:w="0" w:type="dxa"/>
        <w:left w:w="108" w:type="dxa"/>
        <w:bottom w:w="0" w:type="dxa"/>
        <w:right w:w="108" w:type="dxa"/>
      </w:tblCellMar>
    </w:tblPr>
    <w:tcPr>
      <w:textDirection w:val="lrTb"/>
    </w:tcPr>
  </w:style>
  <w:style w:type="paragraph" w:styleId="2">
    <w:name w:val="annotation subject"/>
    <w:basedOn w:val="3"/>
    <w:next w:val="3"/>
    <w:link w:val="83"/>
    <w:semiHidden/>
    <w:uiPriority w:val="0"/>
    <w:rPr>
      <w:b/>
      <w:bCs/>
    </w:rPr>
  </w:style>
  <w:style w:type="paragraph" w:styleId="3">
    <w:name w:val="annotation text"/>
    <w:basedOn w:val="1"/>
    <w:link w:val="81"/>
    <w:semiHidden/>
    <w:uiPriority w:val="0"/>
    <w:pPr>
      <w:jc w:val="left"/>
    </w:pPr>
  </w:style>
  <w:style w:type="paragraph" w:styleId="4">
    <w:name w:val="Body Text"/>
    <w:basedOn w:val="1"/>
    <w:link w:val="76"/>
    <w:uiPriority w:val="0"/>
    <w:pPr>
      <w:spacing w:after="120"/>
    </w:pPr>
  </w:style>
  <w:style w:type="paragraph" w:styleId="5">
    <w:name w:val="Body Text Indent"/>
    <w:basedOn w:val="1"/>
    <w:link w:val="64"/>
    <w:uiPriority w:val="0"/>
    <w:pPr>
      <w:spacing w:after="120"/>
      <w:ind w:left="420" w:leftChars="200"/>
    </w:pPr>
  </w:style>
  <w:style w:type="paragraph" w:styleId="6">
    <w:name w:val="Plain Text"/>
    <w:basedOn w:val="1"/>
    <w:link w:val="71"/>
    <w:uiPriority w:val="0"/>
    <w:rPr>
      <w:rFonts w:ascii="宋体" w:hAnsi="Courier New"/>
      <w:szCs w:val="20"/>
    </w:rPr>
  </w:style>
  <w:style w:type="paragraph" w:styleId="7">
    <w:name w:val="Body Text Indent 2"/>
    <w:basedOn w:val="1"/>
    <w:link w:val="62"/>
    <w:uiPriority w:val="0"/>
    <w:pPr>
      <w:spacing w:afterLines="50"/>
      <w:ind w:firstLine="480" w:firstLineChars="200"/>
    </w:pPr>
    <w:rPr>
      <w:sz w:val="24"/>
    </w:rPr>
  </w:style>
  <w:style w:type="paragraph" w:styleId="8">
    <w:name w:val="Balloon Text"/>
    <w:basedOn w:val="1"/>
    <w:link w:val="68"/>
    <w:semiHidden/>
    <w:uiPriority w:val="0"/>
    <w:rPr>
      <w:sz w:val="18"/>
      <w:szCs w:val="18"/>
    </w:rPr>
  </w:style>
  <w:style w:type="paragraph" w:styleId="9">
    <w:name w:val="footer"/>
    <w:basedOn w:val="1"/>
    <w:link w:val="69"/>
    <w:uiPriority w:val="99"/>
    <w:pPr>
      <w:tabs>
        <w:tab w:val="center" w:pos="4153"/>
        <w:tab w:val="right" w:pos="8306"/>
      </w:tabs>
      <w:snapToGrid w:val="0"/>
      <w:jc w:val="left"/>
    </w:pPr>
    <w:rPr>
      <w:sz w:val="18"/>
      <w:szCs w:val="18"/>
    </w:rPr>
  </w:style>
  <w:style w:type="paragraph" w:styleId="10">
    <w:name w:val="header"/>
    <w:basedOn w:val="1"/>
    <w:link w:val="66"/>
    <w:uiPriority w:val="0"/>
    <w:pPr>
      <w:pBdr>
        <w:bottom w:val="single" w:color="auto" w:sz="6" w:space="1"/>
      </w:pBdr>
      <w:tabs>
        <w:tab w:val="center" w:pos="4153"/>
        <w:tab w:val="right" w:pos="8306"/>
      </w:tabs>
      <w:snapToGrid w:val="0"/>
      <w:jc w:val="center"/>
    </w:pPr>
    <w:rPr>
      <w:sz w:val="18"/>
      <w:szCs w:val="20"/>
    </w:rPr>
  </w:style>
  <w:style w:type="paragraph" w:styleId="11">
    <w:name w:val="Body Text Indent 3"/>
    <w:basedOn w:val="1"/>
    <w:link w:val="75"/>
    <w:uiPriority w:val="0"/>
    <w:pPr>
      <w:spacing w:after="120"/>
      <w:ind w:left="420" w:leftChars="200"/>
    </w:pPr>
    <w:rPr>
      <w:sz w:val="16"/>
      <w:szCs w:val="16"/>
    </w:rPr>
  </w:style>
  <w:style w:type="paragraph" w:styleId="12">
    <w:name w:val="Body Text 2"/>
    <w:basedOn w:val="1"/>
    <w:link w:val="73"/>
    <w:uiPriority w:val="0"/>
    <w:pPr>
      <w:spacing w:line="340" w:lineRule="exact"/>
    </w:pPr>
    <w:rPr>
      <w:rFonts w:ascii="仿宋_GB2312" w:eastAsia="仿宋_GB2312"/>
      <w:sz w:val="24"/>
    </w:rPr>
  </w:style>
  <w:style w:type="paragraph" w:styleId="13">
    <w:name w:val="Normal (Web)"/>
    <w:basedOn w:val="1"/>
    <w:uiPriority w:val="99"/>
    <w:pPr>
      <w:widowControl/>
      <w:spacing w:before="100" w:beforeAutospacing="1" w:after="100" w:afterAutospacing="1"/>
      <w:jc w:val="left"/>
    </w:pPr>
    <w:rPr>
      <w:rFonts w:ascii="宋体" w:hAnsi="宋体" w:cs="宋体"/>
      <w:kern w:val="0"/>
      <w:sz w:val="24"/>
    </w:rPr>
  </w:style>
  <w:style w:type="character" w:styleId="15">
    <w:name w:val="Strong"/>
    <w:qFormat/>
    <w:uiPriority w:val="0"/>
    <w:rPr>
      <w:b/>
      <w:bCs/>
    </w:rPr>
  </w:style>
  <w:style w:type="character" w:styleId="16">
    <w:name w:val="page number"/>
    <w:basedOn w:val="14"/>
    <w:uiPriority w:val="0"/>
    <w:rPr/>
  </w:style>
  <w:style w:type="character" w:styleId="17">
    <w:name w:val="FollowedHyperlink"/>
    <w:uiPriority w:val="0"/>
    <w:rPr>
      <w:color w:val="800080"/>
      <w:u w:val="single"/>
    </w:rPr>
  </w:style>
  <w:style w:type="character" w:styleId="18">
    <w:name w:val="Emphasis"/>
    <w:qFormat/>
    <w:uiPriority w:val="0"/>
    <w:rPr>
      <w:color w:val="CC0000"/>
    </w:rPr>
  </w:style>
  <w:style w:type="character" w:styleId="19">
    <w:name w:val="Hyperlink"/>
    <w:uiPriority w:val="0"/>
    <w:rPr>
      <w:color w:val="0000FF"/>
      <w:u w:val="single"/>
    </w:rPr>
  </w:style>
  <w:style w:type="character" w:styleId="20">
    <w:name w:val="annotation reference"/>
    <w:semiHidden/>
    <w:uiPriority w:val="0"/>
    <w:rPr>
      <w:sz w:val="21"/>
      <w:szCs w:val="21"/>
    </w:rPr>
  </w:style>
  <w:style w:type="paragraph" w:customStyle="1" w:styleId="22">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23">
    <w:name w:val="font6"/>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24">
    <w:name w:val="font7"/>
    <w:basedOn w:val="1"/>
    <w:uiPriority w:val="0"/>
    <w:pPr>
      <w:widowControl/>
      <w:spacing w:before="100" w:beforeAutospacing="1" w:after="100" w:afterAutospacing="1"/>
      <w:jc w:val="left"/>
    </w:pPr>
    <w:rPr>
      <w:kern w:val="0"/>
      <w:sz w:val="20"/>
      <w:szCs w:val="20"/>
    </w:rPr>
  </w:style>
  <w:style w:type="paragraph" w:customStyle="1" w:styleId="25">
    <w:name w:val="xl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kern w:val="0"/>
      <w:sz w:val="22"/>
      <w:szCs w:val="22"/>
    </w:rPr>
  </w:style>
  <w:style w:type="paragraph" w:customStyle="1" w:styleId="26">
    <w:name w:val="xl2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kern w:val="0"/>
      <w:sz w:val="22"/>
      <w:szCs w:val="22"/>
    </w:rPr>
  </w:style>
  <w:style w:type="paragraph" w:customStyle="1" w:styleId="27">
    <w:name w:val="xl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
    <w:name w:val="xl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9">
    <w:name w:val="xl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0">
    <w:name w:val="xl2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1">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2">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3">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4">
    <w:name w:val="xl31"/>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5">
    <w:name w:val="xl32"/>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
    <w:name w:val="xl3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
    <w:name w:val="xl34"/>
    <w:basedOn w:val="1"/>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8">
    <w:name w:val="xl35"/>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9">
    <w:name w:val="xl36"/>
    <w:basedOn w:val="1"/>
    <w:uiPriority w:val="0"/>
    <w:pPr>
      <w:widowControl/>
      <w:spacing w:before="100" w:beforeAutospacing="1" w:after="100" w:afterAutospacing="1"/>
      <w:jc w:val="center"/>
      <w:textAlignment w:val="center"/>
    </w:pPr>
    <w:rPr>
      <w:rFonts w:ascii="黑体" w:hAnsi="宋体" w:eastAsia="黑体" w:cs="宋体"/>
      <w:kern w:val="0"/>
      <w:sz w:val="32"/>
      <w:szCs w:val="32"/>
    </w:rPr>
  </w:style>
  <w:style w:type="paragraph" w:customStyle="1" w:styleId="40">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1">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2">
    <w:name w:val="xl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3">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4">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5">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6">
    <w:name w:val="xl43"/>
    <w:basedOn w:val="1"/>
    <w:uiPriority w:val="0"/>
    <w:pPr>
      <w:widowControl/>
      <w:pBdr>
        <w:bottom w:val="single" w:color="auto" w:sz="4" w:space="0"/>
      </w:pBdr>
      <w:spacing w:before="100" w:beforeAutospacing="1" w:after="100" w:afterAutospacing="1"/>
      <w:jc w:val="center"/>
      <w:textAlignment w:val="center"/>
    </w:pPr>
    <w:rPr>
      <w:rFonts w:ascii="黑体" w:hAnsi="宋体" w:eastAsia="黑体" w:cs="宋体"/>
      <w:kern w:val="0"/>
      <w:sz w:val="28"/>
      <w:szCs w:val="28"/>
    </w:rPr>
  </w:style>
  <w:style w:type="paragraph" w:customStyle="1" w:styleId="47">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48">
    <w:name w:val="xl45"/>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9">
    <w:name w:val="xl46"/>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0">
    <w:name w:val="xl4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1">
    <w:name w:val="xl4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2">
    <w:name w:val="xl49"/>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3">
    <w:name w:val="编号"/>
    <w:basedOn w:val="1"/>
    <w:uiPriority w:val="0"/>
    <w:pPr>
      <w:numPr>
        <w:ilvl w:val="1"/>
        <w:numId w:val="1"/>
      </w:numPr>
      <w:tabs>
        <w:tab w:val="left" w:pos="420"/>
      </w:tabs>
      <w:spacing w:line="360" w:lineRule="auto"/>
    </w:pPr>
    <w:rPr>
      <w:szCs w:val="21"/>
    </w:rPr>
  </w:style>
  <w:style w:type="paragraph" w:customStyle="1" w:styleId="54">
    <w:name w:val="标准"/>
    <w:basedOn w:val="1"/>
    <w:uiPriority w:val="0"/>
    <w:pPr>
      <w:adjustRightInd w:val="0"/>
      <w:spacing w:before="120" w:after="120" w:line="312" w:lineRule="atLeast"/>
      <w:textAlignment w:val="baseline"/>
    </w:pPr>
    <w:rPr>
      <w:rFonts w:ascii="宋体"/>
      <w:kern w:val="0"/>
      <w:szCs w:val="20"/>
    </w:rPr>
  </w:style>
  <w:style w:type="paragraph" w:customStyle="1" w:styleId="55">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6">
    <w:name w:val="style2"/>
    <w:basedOn w:val="1"/>
    <w:uiPriority w:val="0"/>
    <w:pPr>
      <w:widowControl/>
      <w:spacing w:before="100" w:beforeAutospacing="1" w:after="100" w:afterAutospacing="1"/>
      <w:jc w:val="left"/>
    </w:pPr>
    <w:rPr>
      <w:rFonts w:ascii="黑体" w:hAnsi="宋体" w:eastAsia="黑体" w:cs="宋体"/>
      <w:color w:val="FF0000"/>
      <w:kern w:val="0"/>
      <w:sz w:val="36"/>
      <w:szCs w:val="36"/>
    </w:rPr>
  </w:style>
  <w:style w:type="paragraph" w:customStyle="1" w:styleId="57">
    <w:name w:val="style48"/>
    <w:basedOn w:val="1"/>
    <w:uiPriority w:val="0"/>
    <w:pPr>
      <w:widowControl/>
      <w:spacing w:before="100" w:beforeAutospacing="1" w:after="100" w:afterAutospacing="1"/>
      <w:jc w:val="left"/>
    </w:pPr>
    <w:rPr>
      <w:rFonts w:ascii="楷体_GB2312" w:hAnsi="宋体" w:eastAsia="楷体_GB2312" w:cs="宋体"/>
      <w:color w:val="000000"/>
      <w:kern w:val="0"/>
      <w:sz w:val="27"/>
      <w:szCs w:val="27"/>
    </w:rPr>
  </w:style>
  <w:style w:type="paragraph" w:customStyle="1" w:styleId="58">
    <w:name w:val="普通 (Web)"/>
    <w:basedOn w:val="1"/>
    <w:uiPriority w:val="0"/>
    <w:pPr>
      <w:widowControl/>
      <w:spacing w:before="100" w:beforeAutospacing="1" w:after="100" w:afterAutospacing="1"/>
      <w:jc w:val="left"/>
    </w:pPr>
    <w:rPr>
      <w:rFonts w:ascii="宋体" w:hAnsi="宋体"/>
      <w:kern w:val="0"/>
      <w:sz w:val="24"/>
    </w:rPr>
  </w:style>
  <w:style w:type="paragraph" w:customStyle="1" w:styleId="59">
    <w:name w:val="样式1"/>
    <w:basedOn w:val="1"/>
    <w:uiPriority w:val="0"/>
    <w:pPr>
      <w:autoSpaceDE w:val="0"/>
      <w:autoSpaceDN w:val="0"/>
      <w:adjustRightInd w:val="0"/>
      <w:snapToGrid w:val="0"/>
    </w:pPr>
    <w:rPr>
      <w:rFonts w:ascii="宋体" w:hAnsi="宋体"/>
      <w:color w:val="000000"/>
      <w:spacing w:val="-20"/>
      <w:szCs w:val="21"/>
    </w:rPr>
  </w:style>
  <w:style w:type="paragraph" w:customStyle="1" w:styleId="60">
    <w:name w:val="Char Char1 Char Char1 Char Char1 Char Char1 Char Char Char Char Char Char Char"/>
    <w:basedOn w:val="1"/>
    <w:uiPriority w:val="0"/>
    <w:rPr>
      <w:rFonts w:ascii="Tahoma" w:hAnsi="Tahoma"/>
      <w:sz w:val="24"/>
    </w:rPr>
  </w:style>
  <w:style w:type="paragraph" w:customStyle="1" w:styleId="61">
    <w:name w:val="style5"/>
    <w:basedOn w:val="1"/>
    <w:uiPriority w:val="0"/>
    <w:pPr>
      <w:widowControl/>
      <w:spacing w:before="100" w:beforeAutospacing="1" w:after="100" w:afterAutospacing="1"/>
      <w:jc w:val="left"/>
    </w:pPr>
    <w:rPr>
      <w:rFonts w:ascii="宋体" w:hAnsi="宋体" w:cs="宋体"/>
      <w:kern w:val="0"/>
      <w:sz w:val="24"/>
    </w:rPr>
  </w:style>
  <w:style w:type="character" w:customStyle="1" w:styleId="62">
    <w:name w:val="正文文本缩进 2 Char"/>
    <w:link w:val="7"/>
    <w:uiPriority w:val="0"/>
    <w:rPr>
      <w:rFonts w:ascii="Times New Roman" w:hAnsi="Times New Roman" w:eastAsia="宋体" w:cs="Times New Roman"/>
      <w:sz w:val="24"/>
      <w:szCs w:val="24"/>
    </w:rPr>
  </w:style>
  <w:style w:type="character" w:customStyle="1" w:styleId="63">
    <w:name w:val="Char Char4"/>
    <w:semiHidden/>
    <w:uiPriority w:val="0"/>
    <w:rPr>
      <w:rFonts w:eastAsia="宋体"/>
      <w:kern w:val="2"/>
      <w:sz w:val="24"/>
      <w:szCs w:val="24"/>
      <w:lang w:val="en-US" w:eastAsia="zh-CN" w:bidi="ar-SA"/>
    </w:rPr>
  </w:style>
  <w:style w:type="character" w:customStyle="1" w:styleId="64">
    <w:name w:val="正文文本缩进 Char"/>
    <w:link w:val="5"/>
    <w:uiPriority w:val="0"/>
    <w:rPr>
      <w:rFonts w:ascii="Times New Roman" w:hAnsi="Times New Roman" w:eastAsia="宋体" w:cs="Times New Roman"/>
      <w:szCs w:val="24"/>
    </w:rPr>
  </w:style>
  <w:style w:type="character" w:customStyle="1" w:styleId="65">
    <w:name w:val="Char Char6"/>
    <w:semiHidden/>
    <w:uiPriority w:val="0"/>
    <w:rPr>
      <w:rFonts w:eastAsia="宋体"/>
      <w:kern w:val="2"/>
      <w:sz w:val="21"/>
      <w:szCs w:val="24"/>
      <w:lang w:val="en-US" w:eastAsia="zh-CN" w:bidi="ar-SA"/>
    </w:rPr>
  </w:style>
  <w:style w:type="character" w:customStyle="1" w:styleId="66">
    <w:name w:val="页眉 Char"/>
    <w:link w:val="10"/>
    <w:uiPriority w:val="0"/>
    <w:rPr>
      <w:rFonts w:ascii="Times New Roman" w:hAnsi="Times New Roman" w:eastAsia="宋体" w:cs="Times New Roman"/>
      <w:sz w:val="18"/>
      <w:szCs w:val="20"/>
    </w:rPr>
  </w:style>
  <w:style w:type="character" w:customStyle="1" w:styleId="67">
    <w:name w:val="Char Char5"/>
    <w:semiHidden/>
    <w:uiPriority w:val="0"/>
    <w:rPr>
      <w:rFonts w:eastAsia="宋体"/>
      <w:kern w:val="2"/>
      <w:sz w:val="18"/>
      <w:lang w:val="en-US" w:eastAsia="zh-CN" w:bidi="ar-SA"/>
    </w:rPr>
  </w:style>
  <w:style w:type="character" w:customStyle="1" w:styleId="68">
    <w:name w:val="批注框文本 Char"/>
    <w:link w:val="8"/>
    <w:semiHidden/>
    <w:uiPriority w:val="0"/>
    <w:rPr>
      <w:rFonts w:ascii="Times New Roman" w:hAnsi="Times New Roman" w:eastAsia="宋体" w:cs="Times New Roman"/>
      <w:sz w:val="18"/>
      <w:szCs w:val="18"/>
    </w:rPr>
  </w:style>
  <w:style w:type="character" w:customStyle="1" w:styleId="69">
    <w:name w:val="页脚 Char"/>
    <w:link w:val="9"/>
    <w:uiPriority w:val="99"/>
    <w:rPr>
      <w:rFonts w:ascii="Times New Roman" w:hAnsi="Times New Roman" w:eastAsia="宋体" w:cs="Times New Roman"/>
      <w:sz w:val="18"/>
      <w:szCs w:val="18"/>
    </w:rPr>
  </w:style>
  <w:style w:type="character" w:customStyle="1" w:styleId="70">
    <w:name w:val="Char Char2"/>
    <w:semiHidden/>
    <w:uiPriority w:val="0"/>
    <w:rPr>
      <w:rFonts w:eastAsia="宋体"/>
      <w:kern w:val="2"/>
      <w:sz w:val="18"/>
      <w:szCs w:val="18"/>
      <w:lang w:val="en-US" w:eastAsia="zh-CN" w:bidi="ar-SA"/>
    </w:rPr>
  </w:style>
  <w:style w:type="character" w:customStyle="1" w:styleId="71">
    <w:name w:val="纯文本 Char"/>
    <w:link w:val="6"/>
    <w:uiPriority w:val="0"/>
    <w:rPr>
      <w:rFonts w:ascii="宋体" w:hAnsi="Courier New" w:eastAsia="宋体" w:cs="Times New Roman"/>
      <w:szCs w:val="20"/>
    </w:rPr>
  </w:style>
  <w:style w:type="character" w:customStyle="1" w:styleId="72">
    <w:name w:val="Char Char3"/>
    <w:semiHidden/>
    <w:uiPriority w:val="0"/>
    <w:rPr>
      <w:rFonts w:ascii="宋体" w:hAnsi="Courier New" w:eastAsia="宋体"/>
      <w:kern w:val="2"/>
      <w:sz w:val="21"/>
      <w:lang w:val="en-US" w:eastAsia="zh-CN" w:bidi="ar-SA"/>
    </w:rPr>
  </w:style>
  <w:style w:type="character" w:customStyle="1" w:styleId="73">
    <w:name w:val="正文文本 2 Char"/>
    <w:link w:val="12"/>
    <w:uiPriority w:val="0"/>
    <w:rPr>
      <w:rFonts w:ascii="仿宋_GB2312" w:hAnsi="Times New Roman" w:eastAsia="仿宋_GB2312" w:cs="Times New Roman"/>
      <w:sz w:val="24"/>
      <w:szCs w:val="24"/>
    </w:rPr>
  </w:style>
  <w:style w:type="character" w:customStyle="1" w:styleId="74">
    <w:name w:val="Char Char1"/>
    <w:semiHidden/>
    <w:uiPriority w:val="0"/>
    <w:rPr>
      <w:rFonts w:ascii="仿宋_GB2312" w:eastAsia="仿宋_GB2312"/>
      <w:kern w:val="2"/>
      <w:sz w:val="24"/>
      <w:szCs w:val="24"/>
      <w:lang w:val="en-US" w:eastAsia="zh-CN" w:bidi="ar-SA"/>
    </w:rPr>
  </w:style>
  <w:style w:type="character" w:customStyle="1" w:styleId="75">
    <w:name w:val="正文文本缩进 3 Char"/>
    <w:link w:val="11"/>
    <w:uiPriority w:val="0"/>
    <w:rPr>
      <w:rFonts w:ascii="Times New Roman" w:hAnsi="Times New Roman" w:eastAsia="宋体" w:cs="Times New Roman"/>
      <w:sz w:val="16"/>
      <w:szCs w:val="16"/>
    </w:rPr>
  </w:style>
  <w:style w:type="character" w:customStyle="1" w:styleId="76">
    <w:name w:val="正文文本 Char"/>
    <w:link w:val="4"/>
    <w:uiPriority w:val="0"/>
    <w:rPr>
      <w:rFonts w:ascii="Times New Roman" w:hAnsi="Times New Roman" w:eastAsia="宋体" w:cs="Times New Roman"/>
      <w:szCs w:val="24"/>
    </w:rPr>
  </w:style>
  <w:style w:type="character" w:customStyle="1" w:styleId="77">
    <w:name w:val="dj1"/>
    <w:uiPriority w:val="0"/>
    <w:rPr>
      <w:sz w:val="21"/>
      <w:szCs w:val="21"/>
    </w:rPr>
  </w:style>
  <w:style w:type="character" w:customStyle="1" w:styleId="78">
    <w:name w:val="Char Char"/>
    <w:uiPriority w:val="0"/>
    <w:rPr>
      <w:rFonts w:eastAsia="宋体"/>
      <w:kern w:val="2"/>
      <w:sz w:val="21"/>
      <w:szCs w:val="24"/>
      <w:lang w:val="en-US" w:eastAsia="zh-CN" w:bidi="ar-SA"/>
    </w:rPr>
  </w:style>
  <w:style w:type="character" w:customStyle="1" w:styleId="79">
    <w:name w:val="style1"/>
    <w:uiPriority w:val="0"/>
    <w:rPr>
      <w:rFonts w:hint="default"/>
      <w:color w:val="000000"/>
      <w:spacing w:val="300"/>
      <w:sz w:val="18"/>
      <w:szCs w:val="18"/>
      <w:u w:val="none"/>
    </w:rPr>
  </w:style>
  <w:style w:type="character" w:customStyle="1" w:styleId="80">
    <w:name w:val="duanluo"/>
    <w:basedOn w:val="14"/>
    <w:uiPriority w:val="0"/>
    <w:rPr/>
  </w:style>
  <w:style w:type="character" w:customStyle="1" w:styleId="81">
    <w:name w:val="批注文字 Char"/>
    <w:link w:val="3"/>
    <w:semiHidden/>
    <w:uiPriority w:val="0"/>
    <w:rPr>
      <w:rFonts w:ascii="Times New Roman" w:hAnsi="Times New Roman" w:eastAsia="宋体" w:cs="Times New Roman"/>
      <w:szCs w:val="24"/>
    </w:rPr>
  </w:style>
  <w:style w:type="character" w:customStyle="1" w:styleId="82">
    <w:name w:val="style471"/>
    <w:uiPriority w:val="0"/>
    <w:rPr>
      <w:rFonts w:hint="eastAsia" w:ascii="楷体_GB2312" w:eastAsia="楷体_GB2312"/>
      <w:sz w:val="27"/>
      <w:szCs w:val="27"/>
    </w:rPr>
  </w:style>
  <w:style w:type="character" w:customStyle="1" w:styleId="83">
    <w:name w:val="批注主题 Char"/>
    <w:link w:val="2"/>
    <w:semiHidden/>
    <w:uiPriority w:val="0"/>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HBU</Company>
  <Pages>7</Pages>
  <Words>835</Words>
  <Characters>4764</Characters>
  <Lines>39</Lines>
  <Paragraphs>11</Paragraphs>
  <ScaleCrop>false</ScaleCrop>
  <LinksUpToDate>false</LinksUpToDate>
  <CharactersWithSpaces>0</CharactersWithSpaces>
  <Application>WPS Office_9.1.0.5060_{F1E327BC-269C-435d-A152-05C5408002CA}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2014-12-26T01:00:00Z</dcterms:created>
  <dc:creator>SHIRY</dc:creator>
  <cp:lastModifiedBy>Administrator</cp:lastModifiedBy>
  <cp:lastPrinted>2015-03-19T00:56:00Z</cp:lastPrinted>
  <dcterms:modified xsi:type="dcterms:W3CDTF">2015-05-08T01:49:38Z</dcterms:modified>
  <dc:title>XXX专业(XXX试点班)人才培养方案（黑体三号）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