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方正小标宋简体" w:hAnsi="方正小标宋简体" w:cs="方正小标宋简体" w:eastAsia="方正小标宋简体"/>
          <w:color w:val="000000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36"/>
          <w:shd w:fill="auto" w:val="clear"/>
        </w:rPr>
        <w:t xml:space="preserve">河北大学经济学院教学系列职称评审科研工作量化计分办法</w:t>
      </w:r>
    </w:p>
    <w:p>
      <w:pPr>
        <w:spacing w:before="0" w:after="0" w:line="360"/>
        <w:ind w:right="0" w:left="0" w:firstLine="0"/>
        <w:jc w:val="center"/>
        <w:rPr>
          <w:rFonts w:ascii="华文仿宋" w:hAnsi="华文仿宋" w:cs="华文仿宋" w:eastAsia="华文仿宋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根据河北大学教学系列职称评审有关要求，科研工作按如下条件量化计分。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一、科研工作量化评分标准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科研C：分为承担项目C1，论文、论著C2，科研成果奖C3三项。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1.科研项目C1：依据承担项目级别及排名得分。评分标准见表1。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表1</w:t>
      </w:r>
    </w:p>
    <w:tbl>
      <w:tblPr/>
      <w:tblGrid>
        <w:gridCol w:w="904"/>
        <w:gridCol w:w="3260"/>
        <w:gridCol w:w="796"/>
        <w:gridCol w:w="992"/>
        <w:gridCol w:w="1134"/>
        <w:gridCol w:w="993"/>
        <w:gridCol w:w="992"/>
        <w:gridCol w:w="905"/>
      </w:tblGrid>
      <w:tr>
        <w:trPr>
          <w:trHeight w:val="604" w:hRule="auto"/>
          <w:jc w:val="center"/>
        </w:trPr>
        <w:tc>
          <w:tcPr>
            <w:tcW w:w="49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               名次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项目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第四名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第五名</w:t>
            </w:r>
          </w:p>
        </w:tc>
      </w:tr>
      <w:tr>
        <w:trPr>
          <w:trHeight w:val="707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国家重大项目或单项横向项目（300万元以上）   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Ⅰ类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180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国家级重点项目或单项横向项目（100万元以上） 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Ⅱ类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国家社科基金年度项目或单项横向项目（60万元以上）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Ⅲ类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省级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省部级重点项目、教育部项目（全国高校古委会）或单项横向项目（30万元以上）  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Ⅰ类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省级项目、厅级重大招标项目或单项横向项目（8万元以上） 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Ⅱ类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厅级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厅局级重点项目或单项横向项目学5万元以上）    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Ⅰ类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525" w:hanging="525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厅局级项目或横向项目（3万元以上）</w:t>
            </w:r>
          </w:p>
        </w:tc>
        <w:tc>
          <w:tcPr>
            <w:tcW w:w="7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525" w:hanging="525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Ⅱ类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0" w:hRule="auto"/>
          <w:jc w:val="center"/>
        </w:trPr>
        <w:tc>
          <w:tcPr>
            <w:tcW w:w="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校级</w:t>
            </w:r>
          </w:p>
        </w:tc>
        <w:tc>
          <w:tcPr>
            <w:tcW w:w="405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校级项目（仅限申报中级职称人员）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注：对于一人承担多项项目其单项最高分计为C11，次高得分计为C12……依次类推，只计前三个单项得分，则承担项目得分为C1=C11+C12×0.3+C13×0.2。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国家重大项目主持子课题者，以子课题计，不依项目排名计。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指导项目不计分。作为晋升条件符合省定条件的指导项目除外。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国外纵向项目，参照国内纵向项目标准计分；若无法参照，按横向课题计分。</w:t>
      </w:r>
    </w:p>
    <w:p>
      <w:pPr>
        <w:spacing w:before="0" w:after="0" w:line="560"/>
        <w:ind w:right="0" w:left="0" w:firstLine="643"/>
        <w:jc w:val="both"/>
        <w:rPr>
          <w:rFonts w:ascii="楷体_GB2312" w:hAnsi="楷体_GB2312" w:cs="楷体_GB2312" w:eastAsia="楷体_GB2312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000000"/>
          <w:spacing w:val="0"/>
          <w:position w:val="0"/>
          <w:sz w:val="32"/>
          <w:shd w:fill="auto" w:val="clear"/>
        </w:rPr>
        <w:t xml:space="preserve">国家级课题未结项的，按上表中对应分数乘以</w:t>
      </w:r>
      <w:r>
        <w:rPr>
          <w:rFonts w:ascii="楷体_GB2312" w:hAnsi="楷体_GB2312" w:cs="楷体_GB2312" w:eastAsia="楷体_GB2312"/>
          <w:b/>
          <w:color w:val="000000"/>
          <w:spacing w:val="0"/>
          <w:position w:val="0"/>
          <w:sz w:val="32"/>
          <w:shd w:fill="auto" w:val="clear"/>
        </w:rPr>
        <w:t xml:space="preserve">0.8</w:t>
      </w:r>
      <w:r>
        <w:rPr>
          <w:rFonts w:ascii="宋体" w:hAnsi="宋体" w:cs="宋体" w:eastAsia="宋体"/>
          <w:b/>
          <w:color w:val="000000"/>
          <w:spacing w:val="0"/>
          <w:position w:val="0"/>
          <w:sz w:val="32"/>
          <w:shd w:fill="auto" w:val="clear"/>
        </w:rPr>
        <w:t xml:space="preserve">计分。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21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2.论文著作C2：依据论著发表的级别及作者排名得分。评分标准见表2。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表2</w:t>
      </w:r>
    </w:p>
    <w:tbl>
      <w:tblPr/>
      <w:tblGrid>
        <w:gridCol w:w="4663"/>
        <w:gridCol w:w="1134"/>
        <w:gridCol w:w="992"/>
        <w:gridCol w:w="992"/>
        <w:gridCol w:w="1032"/>
      </w:tblGrid>
      <w:tr>
        <w:trPr>
          <w:trHeight w:val="862" w:hRule="auto"/>
          <w:jc w:val="center"/>
          <w:cantSplit w:val="1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both"/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排名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类  别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级别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《国家哲学社会科学成果文库》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社科一类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《中国社会科学》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社科二类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60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顶级期刊、SSCI一区论文、《新华文摘》（全文转载），核心出版社出版的专著，国家级领导人批示，《国家社科基金成果要报》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社科三类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CSSCI、SSCI二区论文、《中国社会科学文摘》、人大复印资料（原文发表在核心以上期刊）,《高等学校文科学术文摘》，省级主要领导批示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社科四类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6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其他专著，其他人大复印资料，《人民日报》《光明日报》理论版2000字以上，CSSCI集刊，SSCI三、四区论文，EI论文（不含会议论文），外文核心期刊（以《国外人文社会科学核心目录总览》为准）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社科五类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CSSCI扩展版，核心期刊，编著，译著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社科六类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5" w:hRule="auto"/>
          <w:jc w:val="center"/>
        </w:trPr>
        <w:tc>
          <w:tcPr>
            <w:tcW w:w="4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一般期刊，包括外文期刊，港台期刊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社科七类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注：论著只取6项计分。一人多项论著单项最高分计为C21，次高得分计为C22……依次类推，只计前六个单项得分，则承担论著得分为C2＝C21+C22+C23+C24+C25×0.3+C26×0.2。</w:t>
      </w:r>
    </w:p>
    <w:p>
      <w:pPr>
        <w:spacing w:before="0" w:after="0" w:line="560"/>
        <w:ind w:right="0" w:left="0" w:firstLine="643"/>
        <w:jc w:val="both"/>
        <w:rPr>
          <w:rFonts w:ascii="楷体_GB2312" w:hAnsi="楷体_GB2312" w:cs="楷体_GB2312" w:eastAsia="楷体_GB2312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根据《经济学院加强科研团队建设的实施办法》的规定，对于上表中的社科一类、社科二类和社科三类中的顶级期刊、《新华文摘》（全文转载）、国家级领导人批示、《国家社科基金成果要报》以及中科院一区论文，我院教师为第</w:t>
      </w:r>
      <w:r>
        <w:rPr>
          <w:rFonts w:ascii="楷体_GB2312" w:hAnsi="楷体_GB2312" w:cs="楷体_GB2312" w:eastAsia="楷体_GB2312"/>
          <w:b/>
          <w:color w:val="auto"/>
          <w:spacing w:val="0"/>
          <w:position w:val="0"/>
          <w:sz w:val="32"/>
          <w:shd w:fill="auto" w:val="clear"/>
        </w:rPr>
        <w:t xml:space="preserve">2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作者，学院给予第</w:t>
      </w:r>
      <w:r>
        <w:rPr>
          <w:rFonts w:ascii="楷体_GB2312" w:hAnsi="楷体_GB2312" w:cs="楷体_GB2312" w:eastAsia="楷体_GB2312"/>
          <w:b/>
          <w:color w:val="auto"/>
          <w:spacing w:val="0"/>
          <w:position w:val="0"/>
          <w:sz w:val="32"/>
          <w:shd w:fill="auto" w:val="clear"/>
        </w:rPr>
        <w:t xml:space="preserve">1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作者同样的计分；我院教师为第</w:t>
      </w:r>
      <w:r>
        <w:rPr>
          <w:rFonts w:ascii="楷体_GB2312" w:hAnsi="楷体_GB2312" w:cs="楷体_GB2312" w:eastAsia="楷体_GB2312"/>
          <w:b/>
          <w:color w:val="auto"/>
          <w:spacing w:val="0"/>
          <w:position w:val="0"/>
          <w:sz w:val="32"/>
          <w:shd w:fill="auto" w:val="clear"/>
        </w:rPr>
        <w:t xml:space="preserve">3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作者，学院给予第</w:t>
      </w:r>
      <w:r>
        <w:rPr>
          <w:rFonts w:ascii="楷体_GB2312" w:hAnsi="楷体_GB2312" w:cs="楷体_GB2312" w:eastAsia="楷体_GB2312"/>
          <w:b/>
          <w:color w:val="auto"/>
          <w:spacing w:val="0"/>
          <w:position w:val="0"/>
          <w:sz w:val="32"/>
          <w:shd w:fill="auto" w:val="clear"/>
        </w:rPr>
        <w:t xml:space="preserve">2</w:t>
      </w: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作者同样的计分。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  <w:t xml:space="preserve">3.科研成果奖C3：国家级成果奖河北大学必须是前三名完成单位，省、厅级河北大学必须是第一完成单位。依据奖励级别及排名得分，评分标准见表3。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  <w:t xml:space="preserve">表3</w:t>
      </w:r>
    </w:p>
    <w:tbl>
      <w:tblPr/>
      <w:tblGrid>
        <w:gridCol w:w="1883"/>
        <w:gridCol w:w="992"/>
        <w:gridCol w:w="900"/>
        <w:gridCol w:w="900"/>
        <w:gridCol w:w="900"/>
        <w:gridCol w:w="900"/>
        <w:gridCol w:w="1080"/>
        <w:gridCol w:w="1126"/>
      </w:tblGrid>
      <w:tr>
        <w:trPr>
          <w:trHeight w:val="655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排  名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级  别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第四名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第五名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第六名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第七名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国家级一等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200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国家级二等（含河北省社科特别奖）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160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国家级三等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省部一等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80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省部二等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省部三等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厅局一等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厅局二等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厅局三等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  <w:t xml:space="preserve">注：同一项成果获多种奖励者只按最高奖项计分，不重复计分。对于一人获得多项奖励的，其单项最高分计为C31，次高得分计为C32……依次类推，只计前三个单项得分，则其科研成果得分为C3=C31+C32×0.3+C33×0.2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二、备注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1.所有计分的项目、论题、成果奖必须与申请人所从事的专业密切相关。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2.在所有计分项中（含小项），均需提供有效地证明材料。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3.关于项目：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（1）横向项目到位经费累计100万以上（经费到位须出具学科科研、账务管理部门证明），可以视为具备晋升副高级职称的项目必备条件。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2）指导项目“产生显著的经济效益或较好的社会效益+发表相关论文”可以作为晋升的项目条件。显著的经济效益或社会效益的界定，依据《河北省中高级专业技术职务任职资格申报评审条件》中有关规定执行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（3）关于立项时间以及使用问题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①纵向项目：以项目立项通知书批准时间为准；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②横向项目：以合同签订时间为准。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科研项目作为申报材料在职称评审中仅限使用一次。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4.关于论著：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①署名成果第一署名单位必须为河北大学，学校另有规定的除外。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FF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auto"/>
          <w:spacing w:val="0"/>
          <w:position w:val="0"/>
          <w:sz w:val="32"/>
          <w:shd w:fill="auto" w:val="clear"/>
        </w:rPr>
        <w:t xml:space="preserve">②顶级期刊参见中国社会科学院中国社会科学评价中心发布的《中国人文社会科学期刊评价报告（2014年）》《中国人文社会科学期刊评价报告（2018年）》《中国人文社会科学期刊评价报告（2022年）》。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③核心出版社以中国科学文献计量评价中心研究的《中国高被引图书年报》（2016版）所列举的核心出版社为准。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④作为入门条件的论文认定：国内核心学术期刊范围包括北京大学图书馆编制的《中文核心期刊要目总览》和南京大学编制的《中文社会科学引文索引》（CSSCI）及SCI、EI（不含会议论文）、SSCI索引期刊（以论文发表时间为准）。《新华文摘》全文转载论文、在《人民日报》、《光明日报》、《科技日报》、《经济日报》理论版上发表的本专业理论文章（2000字以上）可视同为核心期刊论文作为晋升条件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⑤发表在论文集、增刊、报纸、（④中认定的报纸除外）上的论文均不计分。</w:t>
      </w:r>
    </w:p>
    <w:p>
      <w:pPr>
        <w:spacing w:before="0" w:after="0" w:line="560"/>
        <w:ind w:right="0" w:left="0" w:firstLine="640"/>
        <w:jc w:val="left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5.本办法由经济学院负责解释。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